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C363" w14:textId="77777777" w:rsidR="00E217E5" w:rsidRPr="00C96037" w:rsidRDefault="003F3028" w:rsidP="00C96037">
      <w:pPr>
        <w:jc w:val="both"/>
        <w:rPr>
          <w:rFonts w:ascii="Garamond" w:hAnsi="Garamond"/>
          <w:i/>
          <w:sz w:val="28"/>
          <w:szCs w:val="28"/>
        </w:rPr>
      </w:pPr>
      <w:r w:rsidRPr="00C96037">
        <w:rPr>
          <w:rFonts w:ascii="Garamond" w:hAnsi="Garamond"/>
          <w:i/>
          <w:sz w:val="28"/>
          <w:szCs w:val="28"/>
        </w:rPr>
        <w:t xml:space="preserve">Missione </w:t>
      </w:r>
      <w:r w:rsidR="008B584F" w:rsidRPr="00C96037">
        <w:rPr>
          <w:rFonts w:ascii="Garamond" w:hAnsi="Garamond"/>
          <w:i/>
          <w:sz w:val="28"/>
          <w:szCs w:val="28"/>
        </w:rPr>
        <w:t>P</w:t>
      </w:r>
      <w:r w:rsidRPr="00C96037">
        <w:rPr>
          <w:rFonts w:ascii="Garamond" w:hAnsi="Garamond"/>
          <w:i/>
          <w:sz w:val="28"/>
          <w:szCs w:val="28"/>
        </w:rPr>
        <w:t xml:space="preserve">ermanente d’Italia </w:t>
      </w:r>
      <w:r w:rsidR="008B584F" w:rsidRPr="00C96037">
        <w:rPr>
          <w:rFonts w:ascii="Garamond" w:hAnsi="Garamond"/>
          <w:i/>
          <w:sz w:val="28"/>
          <w:szCs w:val="28"/>
        </w:rPr>
        <w:t>presso le</w:t>
      </w:r>
      <w:r w:rsidRPr="00C96037">
        <w:rPr>
          <w:rFonts w:ascii="Garamond" w:hAnsi="Garamond"/>
          <w:i/>
          <w:sz w:val="28"/>
          <w:szCs w:val="28"/>
        </w:rPr>
        <w:t xml:space="preserve"> Organizzazioni Internazionali,</w:t>
      </w:r>
      <w:r w:rsidR="00B02AC4" w:rsidRPr="00B02AC4">
        <w:rPr>
          <w:rStyle w:val="Rimandonotaapidipagina"/>
          <w:rFonts w:ascii="Garamond" w:hAnsi="Garamond"/>
          <w:i/>
          <w:color w:val="FFFFFF" w:themeColor="background1"/>
          <w:sz w:val="28"/>
          <w:szCs w:val="28"/>
        </w:rPr>
        <w:footnoteReference w:id="1"/>
      </w:r>
    </w:p>
    <w:p w14:paraId="25C66F0E" w14:textId="77777777" w:rsidR="003F3028" w:rsidRPr="00C96037" w:rsidRDefault="003F3028" w:rsidP="00C96037">
      <w:pPr>
        <w:jc w:val="both"/>
        <w:rPr>
          <w:rFonts w:ascii="Garamond" w:hAnsi="Garamond"/>
          <w:i/>
          <w:sz w:val="28"/>
          <w:szCs w:val="28"/>
        </w:rPr>
      </w:pPr>
      <w:r w:rsidRPr="00C96037">
        <w:rPr>
          <w:rFonts w:ascii="Garamond" w:hAnsi="Garamond"/>
          <w:i/>
          <w:sz w:val="28"/>
          <w:szCs w:val="28"/>
        </w:rPr>
        <w:t xml:space="preserve">10, </w:t>
      </w:r>
      <w:proofErr w:type="spellStart"/>
      <w:r w:rsidRPr="00C96037">
        <w:rPr>
          <w:rFonts w:ascii="Garamond" w:hAnsi="Garamond"/>
          <w:i/>
          <w:sz w:val="28"/>
          <w:szCs w:val="28"/>
        </w:rPr>
        <w:t>Chemin</w:t>
      </w:r>
      <w:proofErr w:type="spellEnd"/>
      <w:r w:rsidRPr="00C96037">
        <w:rPr>
          <w:rFonts w:ascii="Garamond" w:hAnsi="Garamond"/>
          <w:i/>
          <w:sz w:val="28"/>
          <w:szCs w:val="28"/>
        </w:rPr>
        <w:t xml:space="preserve"> de l’</w:t>
      </w:r>
      <w:proofErr w:type="spellStart"/>
      <w:r w:rsidRPr="00C96037">
        <w:rPr>
          <w:rFonts w:ascii="Garamond" w:hAnsi="Garamond"/>
          <w:i/>
          <w:sz w:val="28"/>
          <w:szCs w:val="28"/>
        </w:rPr>
        <w:t>Imp</w:t>
      </w:r>
      <w:r w:rsidR="008B584F" w:rsidRPr="00C96037">
        <w:rPr>
          <w:rFonts w:ascii="Garamond" w:hAnsi="Garamond"/>
          <w:i/>
          <w:sz w:val="28"/>
          <w:szCs w:val="28"/>
        </w:rPr>
        <w:t>é</w:t>
      </w:r>
      <w:r w:rsidRPr="00C96037">
        <w:rPr>
          <w:rFonts w:ascii="Garamond" w:hAnsi="Garamond"/>
          <w:i/>
          <w:sz w:val="28"/>
          <w:szCs w:val="28"/>
        </w:rPr>
        <w:t>ratrice</w:t>
      </w:r>
      <w:proofErr w:type="spellEnd"/>
      <w:r w:rsidRPr="00C96037">
        <w:rPr>
          <w:rFonts w:ascii="Garamond" w:hAnsi="Garamond"/>
          <w:i/>
          <w:sz w:val="28"/>
          <w:szCs w:val="28"/>
        </w:rPr>
        <w:t xml:space="preserve">, Ginevra </w:t>
      </w:r>
    </w:p>
    <w:p w14:paraId="489F2781" w14:textId="77777777" w:rsidR="003F3028" w:rsidRPr="003F0948" w:rsidRDefault="003F3028" w:rsidP="00C96037">
      <w:pPr>
        <w:jc w:val="both"/>
        <w:rPr>
          <w:rFonts w:ascii="Garamond" w:hAnsi="Garamond"/>
          <w:sz w:val="28"/>
          <w:szCs w:val="28"/>
        </w:rPr>
      </w:pPr>
    </w:p>
    <w:p w14:paraId="1CBB5B47" w14:textId="77777777" w:rsidR="003F3028" w:rsidRPr="003F0948" w:rsidRDefault="003F3028" w:rsidP="00C96037">
      <w:pPr>
        <w:jc w:val="both"/>
        <w:rPr>
          <w:rFonts w:ascii="Garamond" w:hAnsi="Garamond"/>
          <w:sz w:val="28"/>
          <w:szCs w:val="28"/>
        </w:rPr>
      </w:pPr>
    </w:p>
    <w:p w14:paraId="5AA97D58" w14:textId="77777777" w:rsidR="003F3028" w:rsidRDefault="003F3028" w:rsidP="00C96037">
      <w:pPr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 xml:space="preserve">Gentile </w:t>
      </w:r>
      <w:r w:rsidR="008B584F">
        <w:rPr>
          <w:rFonts w:ascii="Garamond" w:hAnsi="Garamond"/>
          <w:sz w:val="28"/>
          <w:szCs w:val="28"/>
        </w:rPr>
        <w:t>S</w:t>
      </w:r>
      <w:r w:rsidRPr="003F0948">
        <w:rPr>
          <w:rFonts w:ascii="Garamond" w:hAnsi="Garamond"/>
          <w:sz w:val="28"/>
          <w:szCs w:val="28"/>
        </w:rPr>
        <w:t>ig.</w:t>
      </w:r>
      <w:r w:rsidR="003F0948">
        <w:rPr>
          <w:rFonts w:ascii="Garamond" w:hAnsi="Garamond"/>
          <w:sz w:val="28"/>
          <w:szCs w:val="28"/>
        </w:rPr>
        <w:t>ra</w:t>
      </w:r>
      <w:r w:rsidRPr="003F0948">
        <w:rPr>
          <w:rFonts w:ascii="Garamond" w:hAnsi="Garamond"/>
          <w:sz w:val="28"/>
          <w:szCs w:val="28"/>
        </w:rPr>
        <w:t xml:space="preserve"> </w:t>
      </w:r>
      <w:proofErr w:type="spellStart"/>
      <w:r w:rsidRPr="003F0948">
        <w:rPr>
          <w:rFonts w:ascii="Garamond" w:hAnsi="Garamond"/>
          <w:sz w:val="28"/>
          <w:szCs w:val="28"/>
        </w:rPr>
        <w:t>Balbin</w:t>
      </w:r>
      <w:proofErr w:type="spellEnd"/>
      <w:r w:rsidRPr="003F0948">
        <w:rPr>
          <w:rFonts w:ascii="Garamond" w:hAnsi="Garamond"/>
          <w:sz w:val="28"/>
          <w:szCs w:val="28"/>
        </w:rPr>
        <w:t>,</w:t>
      </w:r>
    </w:p>
    <w:p w14:paraId="333A8EE8" w14:textId="77777777" w:rsidR="00C96037" w:rsidRPr="003F0948" w:rsidRDefault="00C96037" w:rsidP="00C96037">
      <w:pPr>
        <w:jc w:val="both"/>
        <w:rPr>
          <w:rFonts w:ascii="Garamond" w:hAnsi="Garamond"/>
          <w:sz w:val="28"/>
          <w:szCs w:val="28"/>
        </w:rPr>
      </w:pPr>
    </w:p>
    <w:p w14:paraId="6889305F" w14:textId="77777777" w:rsidR="003F3028" w:rsidRDefault="003F3028" w:rsidP="00C96037">
      <w:pPr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 xml:space="preserve">In riscontro alla lettera delle Nazioni Unite, datata 22 ottobre 2018, ho l’onore di presentare la risposta dell’Italia alla comunicazione congiunta di due procedure speciali delle Nazioni Unite </w:t>
      </w:r>
      <w:r w:rsidR="007F2CC2" w:rsidRPr="003F0948">
        <w:rPr>
          <w:rFonts w:ascii="Garamond" w:hAnsi="Garamond"/>
          <w:sz w:val="28"/>
          <w:szCs w:val="28"/>
        </w:rPr>
        <w:t xml:space="preserve">con cui era stato </w:t>
      </w:r>
      <w:r w:rsidRPr="003F0948">
        <w:rPr>
          <w:rFonts w:ascii="Garamond" w:hAnsi="Garamond"/>
          <w:sz w:val="28"/>
          <w:szCs w:val="28"/>
        </w:rPr>
        <w:t>richiesto alle Autorità italiane di fornire informazion</w:t>
      </w:r>
      <w:r w:rsidR="007F2CC2" w:rsidRPr="003F0948">
        <w:rPr>
          <w:rFonts w:ascii="Garamond" w:hAnsi="Garamond"/>
          <w:sz w:val="28"/>
          <w:szCs w:val="28"/>
        </w:rPr>
        <w:t>i</w:t>
      </w:r>
      <w:r w:rsidRPr="003F0948">
        <w:rPr>
          <w:rFonts w:ascii="Garamond" w:hAnsi="Garamond"/>
          <w:sz w:val="28"/>
          <w:szCs w:val="28"/>
        </w:rPr>
        <w:t xml:space="preserve"> sul disegno di legge noto come Decreto </w:t>
      </w:r>
      <w:proofErr w:type="spellStart"/>
      <w:r w:rsidRPr="003F0948">
        <w:rPr>
          <w:rFonts w:ascii="Garamond" w:hAnsi="Garamond"/>
          <w:sz w:val="28"/>
          <w:szCs w:val="28"/>
        </w:rPr>
        <w:t>Pillon</w:t>
      </w:r>
      <w:proofErr w:type="spellEnd"/>
      <w:r w:rsidRPr="003F0948">
        <w:rPr>
          <w:rFonts w:ascii="Garamond" w:hAnsi="Garamond"/>
          <w:sz w:val="28"/>
          <w:szCs w:val="28"/>
        </w:rPr>
        <w:t xml:space="preserve"> </w:t>
      </w:r>
      <w:r w:rsidR="007F2CC2" w:rsidRPr="003F0948">
        <w:rPr>
          <w:rFonts w:ascii="Garamond" w:hAnsi="Garamond"/>
          <w:sz w:val="28"/>
          <w:szCs w:val="28"/>
        </w:rPr>
        <w:t>e</w:t>
      </w:r>
      <w:r w:rsidRPr="003F0948">
        <w:rPr>
          <w:rFonts w:ascii="Garamond" w:hAnsi="Garamond"/>
          <w:sz w:val="28"/>
          <w:szCs w:val="28"/>
        </w:rPr>
        <w:t xml:space="preserve"> sul tema degli “spazi per le donne a Roma”. </w:t>
      </w:r>
    </w:p>
    <w:p w14:paraId="7211A166" w14:textId="77777777" w:rsidR="00C96037" w:rsidRPr="003F0948" w:rsidRDefault="00C96037" w:rsidP="00C96037">
      <w:pPr>
        <w:jc w:val="both"/>
        <w:rPr>
          <w:rFonts w:ascii="Garamond" w:hAnsi="Garamond"/>
          <w:sz w:val="28"/>
          <w:szCs w:val="28"/>
        </w:rPr>
      </w:pPr>
    </w:p>
    <w:p w14:paraId="2969ADAF" w14:textId="77777777" w:rsidR="003F3028" w:rsidRDefault="003F3028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Con questa risposta, cogliamo l’opportunità di reiterare la nostra ferma volontà di continuare a cooperare pienamente 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e diffusamente 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con tutti i 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titolari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de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mandat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relativ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all</w:t>
      </w:r>
      <w:r w:rsidR="007F2CC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e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procedure speciali delle Nazioni 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U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nite.</w:t>
      </w:r>
    </w:p>
    <w:p w14:paraId="5638CE24" w14:textId="77777777" w:rsidR="00C96037" w:rsidRPr="003F0948" w:rsidRDefault="00C96037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5C49246D" w14:textId="77777777" w:rsidR="003F3028" w:rsidRDefault="003F3028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Dovessero essere disponibili ulteriori informazioni, mi permetta di </w:t>
      </w:r>
      <w:proofErr w:type="spellStart"/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assicurarLe</w:t>
      </w:r>
      <w:proofErr w:type="spellEnd"/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che l</w:t>
      </w:r>
      <w:r w:rsidR="007F2CC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e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condivideremo prontamente con Lei. </w:t>
      </w:r>
    </w:p>
    <w:p w14:paraId="7D075245" w14:textId="77777777" w:rsidR="00C96037" w:rsidRPr="003F0948" w:rsidRDefault="00C96037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1CEC17C1" w14:textId="77777777" w:rsidR="003F3028" w:rsidRDefault="003F3028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La prego di accettare, 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Sig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ra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Ba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l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bin</w:t>
      </w:r>
      <w:proofErr w:type="spellEnd"/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, l’assicurazione di avere la mia più alta considerazione,</w:t>
      </w:r>
    </w:p>
    <w:p w14:paraId="2858162A" w14:textId="77777777" w:rsidR="00C96037" w:rsidRPr="003F0948" w:rsidRDefault="00C96037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565714EF" w14:textId="77777777" w:rsidR="00C96037" w:rsidRDefault="003F3028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Distinti saluti,</w:t>
      </w:r>
    </w:p>
    <w:p w14:paraId="65CB0032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37D3632B" w14:textId="77777777" w:rsidR="003F3028" w:rsidRPr="003F0948" w:rsidRDefault="003F3028" w:rsidP="00C96037">
      <w:pPr>
        <w:jc w:val="right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Ambasciatore Gian Lorenzo </w:t>
      </w:r>
      <w:proofErr w:type="spellStart"/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Cornado</w:t>
      </w:r>
      <w:proofErr w:type="spellEnd"/>
    </w:p>
    <w:p w14:paraId="43903CC4" w14:textId="77777777" w:rsidR="007B609E" w:rsidRPr="003F0948" w:rsidRDefault="003F3028" w:rsidP="00C96037">
      <w:pPr>
        <w:jc w:val="right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Rappresentante 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P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ermanente </w:t>
      </w:r>
    </w:p>
    <w:p w14:paraId="0F78045F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0A4C69D6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3084E87F" w14:textId="77777777" w:rsidR="007B609E" w:rsidRPr="003F0948" w:rsidRDefault="007B609E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G</w:t>
      </w:r>
      <w:r w:rsid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nevra, 29 maggio 2019 </w:t>
      </w:r>
    </w:p>
    <w:p w14:paraId="75D81AFD" w14:textId="77777777" w:rsidR="007B609E" w:rsidRPr="003F0948" w:rsidRDefault="007B609E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7E90475B" w14:textId="77777777" w:rsidR="007B609E" w:rsidRPr="003F0948" w:rsidRDefault="007B609E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000E5A2F" w14:textId="77777777" w:rsidR="007B609E" w:rsidRDefault="007B609E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41A674BF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29D99BA8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1C353C19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414F4A2C" w14:textId="77777777" w:rsidR="00C96037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19DD5194" w14:textId="77777777" w:rsidR="00C96037" w:rsidRPr="003F0948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5A8F5B34" w14:textId="77777777" w:rsidR="00C96037" w:rsidRDefault="007B609E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All’attenzione della </w:t>
      </w:r>
      <w:r w:rsidR="008B584F" w:rsidRP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Relatrice Speciale</w:t>
      </w:r>
      <w:r w:rsidRPr="008B584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sulla violenza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contro le donne, le sue cause e conseguenze e del Gruppo di lavoro delle Nazioni Unite sul tema della discriminazione contro le donne nella legge e in pratica.</w:t>
      </w:r>
    </w:p>
    <w:p w14:paraId="48AABBD2" w14:textId="77777777" w:rsidR="00C96037" w:rsidRDefault="00C96037">
      <w:pP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br w:type="page"/>
      </w:r>
    </w:p>
    <w:p w14:paraId="58F450A3" w14:textId="77777777" w:rsidR="00F76ED6" w:rsidRPr="003F0948" w:rsidRDefault="00F76ED6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2FC665E4" w14:textId="77777777" w:rsidR="00F76ED6" w:rsidRPr="00C96037" w:rsidRDefault="00F76ED6" w:rsidP="00C96037">
      <w:pPr>
        <w:jc w:val="center"/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Minist</w:t>
      </w:r>
      <w:r w:rsidR="008B584F"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e</w:t>
      </w:r>
      <w:r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 xml:space="preserve">ro degli </w:t>
      </w:r>
      <w:r w:rsidR="0049728F"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 xml:space="preserve">Affari </w:t>
      </w:r>
      <w:r w:rsidR="008B584F"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E</w:t>
      </w:r>
      <w:r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 xml:space="preserve">steri e </w:t>
      </w:r>
      <w:r w:rsidR="008B584F"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della C</w:t>
      </w:r>
      <w:r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 xml:space="preserve">ooperazione </w:t>
      </w:r>
      <w:r w:rsidR="008B584F"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I</w:t>
      </w:r>
      <w:r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nternazionale</w:t>
      </w:r>
    </w:p>
    <w:p w14:paraId="693FAC26" w14:textId="77777777" w:rsidR="00F76ED6" w:rsidRPr="00C96037" w:rsidRDefault="00F76ED6" w:rsidP="00C96037">
      <w:pPr>
        <w:jc w:val="center"/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C96037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Comitato interministeriale per i diritti umani</w:t>
      </w:r>
    </w:p>
    <w:p w14:paraId="4ABC2338" w14:textId="77777777" w:rsidR="00C96037" w:rsidRPr="00C96037" w:rsidRDefault="00C96037" w:rsidP="00C96037">
      <w:pPr>
        <w:jc w:val="center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2E9FE706" w14:textId="77777777" w:rsidR="00F76ED6" w:rsidRPr="00C96037" w:rsidRDefault="00F76ED6" w:rsidP="00C96037">
      <w:pPr>
        <w:jc w:val="center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C96037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>Osservazion</w:t>
      </w:r>
      <w:r w:rsidR="008B584F" w:rsidRPr="00C96037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>i</w:t>
      </w:r>
      <w:r w:rsidRPr="00C96037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 xml:space="preserve"> dell’Italia in risposta alla comunicazione congiunta (OL ITA 5/2018) da parte di due delle procedure speciali delle Nazioni </w:t>
      </w:r>
      <w:r w:rsidR="008B584F" w:rsidRPr="00C96037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>U</w:t>
      </w:r>
      <w:r w:rsidRPr="00C96037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>nite di data 22 ottobre 2018</w:t>
      </w:r>
    </w:p>
    <w:bookmarkEnd w:id="0"/>
    <w:p w14:paraId="476E9630" w14:textId="77777777" w:rsidR="00F76ED6" w:rsidRPr="003F0948" w:rsidRDefault="00F76ED6" w:rsidP="00C96037">
      <w:pPr>
        <w:jc w:val="center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78849470" w14:textId="77777777" w:rsidR="00F76ED6" w:rsidRPr="003F0948" w:rsidRDefault="00F76ED6" w:rsidP="00C96037">
      <w:pPr>
        <w:jc w:val="center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27 maggio 2019</w:t>
      </w:r>
    </w:p>
    <w:p w14:paraId="113F8733" w14:textId="77777777" w:rsidR="00F76ED6" w:rsidRPr="003F0948" w:rsidRDefault="00F76ED6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4D326267" w14:textId="77777777" w:rsidR="00F76ED6" w:rsidRPr="003F0948" w:rsidRDefault="00F76ED6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20F5F012" w14:textId="77777777" w:rsidR="007F2CC2" w:rsidRPr="003F0948" w:rsidRDefault="007F2CC2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1607B689" w14:textId="77777777" w:rsidR="00C96037" w:rsidRDefault="00C96037">
      <w:pPr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  <w:br w:type="page"/>
      </w:r>
    </w:p>
    <w:p w14:paraId="40F270FF" w14:textId="77777777" w:rsidR="00F76ED6" w:rsidRPr="00C96037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C96037"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  <w:lastRenderedPageBreak/>
        <w:t>REPLICA DELL’ITALIA</w:t>
      </w:r>
    </w:p>
    <w:p w14:paraId="2FE5CE90" w14:textId="77777777" w:rsidR="00F76ED6" w:rsidRPr="003F0948" w:rsidRDefault="00F76ED6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</w:p>
    <w:p w14:paraId="1E3241AE" w14:textId="77777777" w:rsidR="00F76ED6" w:rsidRPr="003F0948" w:rsidRDefault="00F76ED6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In riscontro alla lettera datata 22 ottobre 2018 delle due procedure speciali delle Nazioni Unite (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Relatrice Speciale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sulla violenza contro le donne,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le 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sue cause e conseguenze; e Gruppo di lavoro delle Nazioni Unite sul tema della discriminazione contro le donne nella legge e in pratica),</w:t>
      </w:r>
      <w:r w:rsidR="00E34A25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le Autorità italiane sono in grado di fornire le seguenti osservazioni:</w:t>
      </w:r>
    </w:p>
    <w:p w14:paraId="090E821C" w14:textId="77777777" w:rsidR="00E34A25" w:rsidRPr="003F0948" w:rsidRDefault="00E34A25" w:rsidP="00C96037">
      <w:p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</w:p>
    <w:p w14:paraId="0CA2341B" w14:textId="77777777" w:rsidR="00E34A25" w:rsidRDefault="00E34A25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C96037"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  <w:t>Introduzione</w:t>
      </w:r>
    </w:p>
    <w:p w14:paraId="45B5B1AC" w14:textId="77777777" w:rsidR="00C96037" w:rsidRPr="00C96037" w:rsidRDefault="00C96037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u w:val="single"/>
          <w:bdr w:val="none" w:sz="0" w:space="0" w:color="auto" w:frame="1"/>
        </w:rPr>
      </w:pPr>
    </w:p>
    <w:p w14:paraId="666DE05C" w14:textId="77777777" w:rsidR="00E34A25" w:rsidRPr="003F0948" w:rsidRDefault="00E34A25" w:rsidP="00C96037">
      <w:pPr>
        <w:pStyle w:val="Paragrafoelenco"/>
        <w:numPr>
          <w:ilvl w:val="0"/>
          <w:numId w:val="1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La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ostituzione italiana (rigida) determina la struttura politica per l’azione e l’organizzazione dello Stato. Gli elementi fondamentali o principi strutturali della legge costituzionale che governa l’organizzazione dello Stato sono, come di seguito esposto: </w:t>
      </w:r>
      <w:r w:rsidR="007F2CC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d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emocrazi</w:t>
      </w:r>
      <w:r w:rsidR="007F2CC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, prevista dall’art. 1; il cosiddetto principio personalistico, previsto dall’art. 2, che garantisce il pieno ed effettivo  rispetto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de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i diritti umani; il principio pluralistico,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inserito nel contesto 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del valore della democrazi</w:t>
      </w:r>
      <w:r w:rsidR="007F2CC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(articoli 2 e 5); l’importanza del lavoro quale valore centrale della società italiana (articoli 1 e 4); il principio di solidarietà (articolo 2); il principio di equità, previsto dall’articolo 3 (è anche il criterio fondamentale applicato dal sistema giudiziario quando adotta una sentenza)</w:t>
      </w:r>
      <w:r w:rsidR="00C253E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; il principio di unità e integrità territoriale (articolo 5); e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soprattutto</w:t>
      </w:r>
      <w:r w:rsidR="00C253E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i principi rilevanti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che includono </w:t>
      </w:r>
      <w:r w:rsidR="00C253E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lo stato sociale, lo stato di diritto e il rispetto per i diritti umani e le libertà fondamentali, quali la libertà di corrispondenza, la libertà di movimento, la libertà di religione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o di credo</w:t>
      </w:r>
      <w:r w:rsidR="00C253E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, e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la </w:t>
      </w:r>
      <w:r w:rsidR="00C253E2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libertà di opinione ed espressione. </w:t>
      </w:r>
    </w:p>
    <w:p w14:paraId="20451133" w14:textId="77777777" w:rsidR="0009301F" w:rsidRPr="003F0948" w:rsidRDefault="0009301F" w:rsidP="00C96037">
      <w:pPr>
        <w:pStyle w:val="Paragrafoelenco"/>
        <w:numPr>
          <w:ilvl w:val="0"/>
          <w:numId w:val="1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Il sistema legale italiano mira ad assicurare una struttura effetti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v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a di garanzie, per proteggere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in modo pieno ed estensivo 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i diritti </w:t>
      </w:r>
      <w:r w:rsidR="0049728F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fondamentali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dell’individuo. </w:t>
      </w:r>
    </w:p>
    <w:p w14:paraId="14B19AF6" w14:textId="77777777" w:rsidR="0009301F" w:rsidRPr="003F0948" w:rsidRDefault="0049728F" w:rsidP="00C96037">
      <w:pPr>
        <w:pStyle w:val="Paragrafoelenco"/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Invero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, facciamo affidamento su una solida struttura di regole, anzitutto di natura costituzionale,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grazie alle quali è garantito che 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il rispetto per i diritti umani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sia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uno dei pilastri principali.</w:t>
      </w:r>
    </w:p>
    <w:p w14:paraId="7C928324" w14:textId="77777777" w:rsidR="0009301F" w:rsidRPr="003F0948" w:rsidRDefault="0009301F" w:rsidP="00C96037">
      <w:pPr>
        <w:pStyle w:val="Paragrafoelenco"/>
        <w:numPr>
          <w:ilvl w:val="0"/>
          <w:numId w:val="1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All’interno del nostro sistema dei diritti umani, deve essere fatta menzione, tra gli altri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della Corte Costituzionale italiana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che si occupa di violazioni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esclusivamente di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carattere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costituzionale</w:t>
      </w:r>
      <w:r w:rsidRPr="003F0948">
        <w:rPr>
          <w:rStyle w:val="Rimandonotaapidipagina"/>
          <w:rFonts w:ascii="Garamond" w:hAnsi="Garamond" w:cs="Arial"/>
          <w:b/>
          <w:bCs/>
          <w:color w:val="000000"/>
          <w:sz w:val="28"/>
          <w:szCs w:val="28"/>
          <w:bdr w:val="none" w:sz="0" w:space="0" w:color="auto" w:frame="1"/>
        </w:rPr>
        <w:footnoteReference w:id="2"/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1BBDE9A0" w14:textId="77777777" w:rsidR="0009301F" w:rsidRPr="003F0948" w:rsidRDefault="0009301F" w:rsidP="00C96037">
      <w:pPr>
        <w:pStyle w:val="Paragrafoelenco"/>
        <w:numPr>
          <w:ilvl w:val="0"/>
          <w:numId w:val="2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La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orte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osti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t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uzionale esercita i suoi poteri </w:t>
      </w:r>
      <w:r w:rsidR="007816AC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in vari modi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in quanto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uno dei più alti guardiani della 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ostituzione. Si attiva su richiesta. Per esempio supervisiona le prime fasi dei referendum ed è competente nel caso di messa in stato di accusa del Presidente</w:t>
      </w:r>
      <w:r w:rsid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della Repubblica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5FB8682E" w14:textId="77777777" w:rsidR="0009301F" w:rsidRPr="003F0948" w:rsidRDefault="007816AC" w:rsidP="00C96037">
      <w:pPr>
        <w:pStyle w:val="Paragrafoelenco"/>
        <w:numPr>
          <w:ilvl w:val="0"/>
          <w:numId w:val="2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Questioni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di costituzionalità possono essere sottoposte alla Corte Costituzionale dalle autorità centrali e locali che ritengono che un</w:t>
      </w: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a legge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statale o regionale possa</w:t>
      </w:r>
      <w:r w:rsidR="0009301F" w:rsidRPr="003F0948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09301F" w:rsidRPr="007816AC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essere</w:t>
      </w:r>
      <w:r w:rsidR="0009301F" w:rsidRPr="003F0948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incostituzionale. </w:t>
      </w: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In tal modo,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la Corte monitora le Autorità </w:t>
      </w: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verificando che rispettino la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ostituzione nelle loro azioni. Giudica inoltre in caso di contrasti tra i più alti organi statali e </w:t>
      </w: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dirime i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conflitti tra autorità centrali e locali. </w:t>
      </w:r>
    </w:p>
    <w:p w14:paraId="40818A5F" w14:textId="77777777" w:rsidR="0009301F" w:rsidRPr="003F0948" w:rsidRDefault="00C17180" w:rsidP="00C96037">
      <w:pPr>
        <w:pStyle w:val="Paragrafoelenco"/>
        <w:numPr>
          <w:ilvl w:val="0"/>
          <w:numId w:val="2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lastRenderedPageBreak/>
        <w:t>Dal punto di vista procedurale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, la Corte</w:t>
      </w:r>
      <w:r>
        <w:rPr>
          <w:rStyle w:val="Rimandonotaapidipagina"/>
          <w:rFonts w:ascii="Garamond" w:hAnsi="Garamond" w:cs="Arial"/>
          <w:bCs/>
          <w:color w:val="000000"/>
          <w:sz w:val="28"/>
          <w:szCs w:val="28"/>
          <w:bdr w:val="none" w:sz="0" w:space="0" w:color="auto" w:frame="1"/>
        </w:rPr>
        <w:footnoteReference w:id="3"/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deve esaminare d’ufficio (il procuratore) o su richiesta dell’attore/difensore se le norme da applicare sono aderenti al dettato della norma costituzionale. Se la Corte considera che una norma o un atto sia incostituzionale, tale valutazione comporta la sospensione del procedimento </w:t>
      </w:r>
      <w:r w:rsidR="0009301F" w:rsidRPr="00C17180">
        <w:rPr>
          <w:rStyle w:val="Enfasigrassetto"/>
          <w:rFonts w:ascii="Garamond" w:hAnsi="Garamond" w:cs="Arial"/>
          <w:b w:val="0"/>
          <w:i/>
          <w:color w:val="000000"/>
          <w:sz w:val="28"/>
          <w:szCs w:val="28"/>
          <w:bdr w:val="none" w:sz="0" w:space="0" w:color="auto" w:frame="1"/>
        </w:rPr>
        <w:t>a quo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Pertanto,</w:t>
      </w:r>
      <w:r w:rsidR="0009301F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la decisione è presa dalla stessa Corte, sulla base dell’art. 134 della Costituzione italiana. </w:t>
      </w:r>
    </w:p>
    <w:p w14:paraId="44A63A4D" w14:textId="77777777" w:rsidR="0009301F" w:rsidRPr="003F0948" w:rsidRDefault="00C53949" w:rsidP="00C96037">
      <w:pPr>
        <w:pStyle w:val="Paragrafoelenco"/>
        <w:numPr>
          <w:ilvl w:val="0"/>
          <w:numId w:val="2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La Corte Costituzionale decide (e le sue decisioni non possono essere appellate)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1.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ul</w:t>
      </w:r>
      <w:r w:rsidR="00874CC6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le controversie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oncernenti la costituzionalità delle leggi e degli atti averti forza di legge adottate dallo Stato o dalle Regioni; 2. 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Sui conflitti di attribuzione tra i poteri dello Stato, su quelli tra Stato e Regioni, e tra le Regioni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; 3. 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Sulle accuse promosse contro il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Presidente della Repubblica </w:t>
      </w:r>
      <w:r w:rsidR="00874CC6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a norma della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Costituzione. </w:t>
      </w:r>
    </w:p>
    <w:p w14:paraId="38176301" w14:textId="77777777" w:rsidR="00705E03" w:rsidRPr="003F0948" w:rsidRDefault="00705E03" w:rsidP="00C96037">
      <w:pPr>
        <w:pStyle w:val="Paragrafoelenco"/>
        <w:numPr>
          <w:ilvl w:val="0"/>
          <w:numId w:val="1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Più in generale,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la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orte decide sulla validità della legislazione,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sul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la sua interpretazione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e se la sua attuazione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è 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in linea con la Costituzione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sia nella forma che nella sostanza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Pertanto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, quando la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orte dichiara una legge o un atto avente forza di legge incostituzionale,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tale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 norma cessa di essere in vigore dal giorno successivo alla decisione della Corte.</w:t>
      </w:r>
    </w:p>
    <w:p w14:paraId="743DFEB1" w14:textId="77777777" w:rsidR="00705E03" w:rsidRPr="003F0948" w:rsidRDefault="003B63A6" w:rsidP="00C96037">
      <w:pPr>
        <w:pStyle w:val="Paragrafoelenco"/>
        <w:numPr>
          <w:ilvl w:val="0"/>
          <w:numId w:val="1"/>
        </w:numPr>
        <w:jc w:val="both"/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All’interno di questa struttura deve essere fatta menzione del “processo legislativo” come previsto dalla </w:t>
      </w:r>
      <w:r w:rsidR="001D0EF0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Parte Seconda, Titolo I, Sezione II d</w:t>
      </w:r>
      <w:r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 xml:space="preserve">ella Costituzione: </w:t>
      </w:r>
    </w:p>
    <w:p w14:paraId="0960CAA2" w14:textId="77777777" w:rsidR="001D0EF0" w:rsidRDefault="001D0EF0" w:rsidP="00C9603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“A</w:t>
      </w:r>
      <w:r w:rsidR="003B63A6" w:rsidRPr="003F0948">
        <w:rPr>
          <w:rStyle w:val="Enfasigrassetto"/>
          <w:rFonts w:ascii="Garamond" w:hAnsi="Garamond" w:cs="Arial"/>
          <w:b w:val="0"/>
          <w:color w:val="000000"/>
          <w:sz w:val="28"/>
          <w:szCs w:val="28"/>
          <w:bdr w:val="none" w:sz="0" w:space="0" w:color="auto" w:frame="1"/>
        </w:rPr>
        <w:t>rt. 70</w:t>
      </w:r>
    </w:p>
    <w:p w14:paraId="614A65EB" w14:textId="77777777" w:rsidR="003B63A6" w:rsidRPr="003F0948" w:rsidRDefault="003B63A6" w:rsidP="00C96037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 xml:space="preserve">La funzione legislativa è esercitata collettivamente dalle due Camere. </w:t>
      </w:r>
    </w:p>
    <w:p w14:paraId="7E34C3A1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A</w:t>
      </w:r>
      <w:r w:rsidR="001D0EF0">
        <w:rPr>
          <w:rFonts w:ascii="Garamond" w:eastAsia="Times New Roman" w:hAnsi="Garamond" w:cs="Times New Roman"/>
          <w:sz w:val="28"/>
          <w:szCs w:val="28"/>
          <w:lang w:eastAsia="it-IT"/>
        </w:rPr>
        <w:t>rt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. 71</w:t>
      </w:r>
    </w:p>
    <w:p w14:paraId="494200D5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L’iniziativa delle leggi appartiene al Governo, a ciascun membro delle Camere ed agli organi ed enti ai quali sia conferita da legge costituzionale.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br/>
        <w:t xml:space="preserve">Il popolo esercita l’iniziativa delle leggi, mediante la proposta, da parte di almeno cinquantamila elettori, di un progetto redatto in articoli. </w:t>
      </w:r>
    </w:p>
    <w:p w14:paraId="0426C346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A</w:t>
      </w:r>
      <w:r w:rsidR="001D0EF0">
        <w:rPr>
          <w:rFonts w:ascii="Garamond" w:eastAsia="Times New Roman" w:hAnsi="Garamond" w:cs="Times New Roman"/>
          <w:sz w:val="28"/>
          <w:szCs w:val="28"/>
          <w:lang w:eastAsia="it-IT"/>
        </w:rPr>
        <w:t>rt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. 72</w:t>
      </w:r>
    </w:p>
    <w:p w14:paraId="5E1E0A60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Ogni disegno di legge, presentato ad una Camera è, secondo le norme del suo regolamento, esaminato da una commissione e poi dalla Camera stessa, che l’approva articolo per articolo e con votazione finale.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br/>
        <w:t xml:space="preserve">Il regolamento stabilisce procedimenti abbreviati per i disegni di legge dei quali è dichiarata l’urgenza. </w:t>
      </w:r>
    </w:p>
    <w:p w14:paraId="4180FCB0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Pu</w:t>
      </w:r>
      <w:r w:rsidR="007F2CC2" w:rsidRPr="003F0948">
        <w:rPr>
          <w:rFonts w:ascii="Garamond" w:eastAsia="Times New Roman" w:hAnsi="Garamond" w:cs="Times New Roman"/>
          <w:sz w:val="28"/>
          <w:szCs w:val="28"/>
          <w:lang w:eastAsia="it-IT"/>
        </w:rPr>
        <w:t>ò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altres</w:t>
      </w:r>
      <w:r w:rsidR="007F2CC2" w:rsidRPr="003F0948">
        <w:rPr>
          <w:rFonts w:ascii="Garamond" w:eastAsia="Times New Roman" w:hAnsi="Garamond" w:cs="Times New Roman"/>
          <w:sz w:val="28"/>
          <w:szCs w:val="28"/>
          <w:lang w:eastAsia="it-IT"/>
        </w:rPr>
        <w:t>ì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stabilire in quali casi e forme l’esame e l’approvazione dei di- segni di legge sono deferiti a commissioni, anche permanenti, composte in modo da rispecchiare la 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proporzione dei gruppi parlamentari. Anche in tali casi, fino al momento della sua approvazione definitiva, il disegno di legge è rimesso alla Camera, se il Governo o un decimo dei componenti della Camera o un quinto della commissione richiedono che sia discusso e vo- tato dalla Camera stessa oppure che sia sottoposto alla sua approvazione finale con sole dichiarazioni di voto. Il regolamento determina le forme di pubblicit</w:t>
      </w:r>
      <w:r w:rsidR="007F2CC2" w:rsidRPr="003F0948">
        <w:rPr>
          <w:rFonts w:ascii="Garamond" w:eastAsia="Times New Roman" w:hAnsi="Garamond" w:cs="Times New Roman"/>
          <w:sz w:val="28"/>
          <w:szCs w:val="28"/>
          <w:lang w:eastAsia="it-IT"/>
        </w:rPr>
        <w:t>à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dei lavori delle commissioni. </w:t>
      </w:r>
    </w:p>
    <w:p w14:paraId="0C6AB06D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La procedura normale di esame e di approvazione diretta da parte della Camera è sempre adottata per i disegni di legge in materia costituzionale ed elettorale e per quelli di delegazione legislativa, di autorizzazione a ratificare trattati internazionali, di approvazione di bilanci e consuntivi. </w:t>
      </w:r>
    </w:p>
    <w:p w14:paraId="73FEF9D2" w14:textId="77777777" w:rsidR="003B63A6" w:rsidRPr="003B63A6" w:rsidRDefault="001D0EF0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sz w:val="28"/>
          <w:szCs w:val="28"/>
          <w:lang w:eastAsia="it-IT"/>
        </w:rPr>
        <w:t>Art</w:t>
      </w:r>
      <w:r w:rsidR="003B63A6"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. 73</w:t>
      </w:r>
    </w:p>
    <w:p w14:paraId="17C2DE49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Le leggi sono promulgate dal Presidente della Repubblica entro un mese dall’approvazione.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br/>
        <w:t xml:space="preserve">Se le Camere, ciascuna a maggioranza assoluta dei propri componenti, ne dichiarano l’urgenza, la legge è promulgata nel termine da essa stabilito. Le leggi sono pubblicate subito dopo la promulgazione ed entrano in vi- gore il quindicesimo giorno successivo alla loro pubblicazione, salvo che le leggi stesse stabiliscano un termine diverso. </w:t>
      </w:r>
    </w:p>
    <w:p w14:paraId="29D646B3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A</w:t>
      </w:r>
      <w:r w:rsidR="001D0EF0">
        <w:rPr>
          <w:rFonts w:ascii="Garamond" w:eastAsia="Times New Roman" w:hAnsi="Garamond" w:cs="Times New Roman"/>
          <w:sz w:val="28"/>
          <w:szCs w:val="28"/>
          <w:lang w:eastAsia="it-IT"/>
        </w:rPr>
        <w:t>rt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. 74</w:t>
      </w:r>
    </w:p>
    <w:p w14:paraId="1C631300" w14:textId="77777777" w:rsidR="003B63A6" w:rsidRPr="003F0948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>Il Presidente della Repubblica, prima di promulgare la legge, pu</w:t>
      </w:r>
      <w:r w:rsidR="007F2CC2" w:rsidRPr="003F0948">
        <w:rPr>
          <w:rFonts w:ascii="Garamond" w:eastAsia="Times New Roman" w:hAnsi="Garamond" w:cs="Times New Roman"/>
          <w:sz w:val="28"/>
          <w:szCs w:val="28"/>
          <w:lang w:eastAsia="it-IT"/>
        </w:rPr>
        <w:t>ò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con messaggio motivato alle Camere chiedere una nuova deliberazione.</w:t>
      </w:r>
      <w:r w:rsidRPr="003B63A6">
        <w:rPr>
          <w:rFonts w:ascii="Garamond" w:eastAsia="Times New Roman" w:hAnsi="Garamond" w:cs="Times New Roman"/>
          <w:sz w:val="28"/>
          <w:szCs w:val="28"/>
          <w:lang w:eastAsia="it-IT"/>
        </w:rPr>
        <w:br/>
        <w:t xml:space="preserve">Se le Camere approvano nuovamente la legge, questa deve essere promulgata. </w:t>
      </w:r>
    </w:p>
    <w:p w14:paraId="1FDCB5E7" w14:textId="77777777" w:rsidR="003B63A6" w:rsidRPr="003B63A6" w:rsidRDefault="003B63A6" w:rsidP="00C96037">
      <w:pPr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3F09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… … … </w:t>
      </w:r>
    </w:p>
    <w:p w14:paraId="713B1CA8" w14:textId="77777777" w:rsidR="003B63A6" w:rsidRPr="003F0948" w:rsidRDefault="001D0EF0" w:rsidP="00C96037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</w:t>
      </w:r>
      <w:r w:rsidR="003B63A6" w:rsidRPr="003F0948">
        <w:rPr>
          <w:rFonts w:ascii="Garamond" w:hAnsi="Garamond"/>
          <w:sz w:val="28"/>
          <w:szCs w:val="28"/>
        </w:rPr>
        <w:t xml:space="preserve">. 76 </w:t>
      </w:r>
    </w:p>
    <w:p w14:paraId="03C74CA6" w14:textId="77777777" w:rsidR="003B63A6" w:rsidRPr="003F0948" w:rsidRDefault="003B63A6" w:rsidP="00C96037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>L’esercizio della funzione legislativa non pu</w:t>
      </w:r>
      <w:r w:rsidR="007F2CC2" w:rsidRPr="003F0948">
        <w:rPr>
          <w:rFonts w:ascii="Garamond" w:hAnsi="Garamond"/>
          <w:sz w:val="28"/>
          <w:szCs w:val="28"/>
        </w:rPr>
        <w:t>ò</w:t>
      </w:r>
      <w:r w:rsidRPr="003F0948">
        <w:rPr>
          <w:rFonts w:ascii="Garamond" w:hAnsi="Garamond"/>
          <w:sz w:val="28"/>
          <w:szCs w:val="28"/>
        </w:rPr>
        <w:t xml:space="preserve"> essere delegato al Governo se non con determinazione di principi</w:t>
      </w:r>
      <w:r w:rsidRPr="003F0948">
        <w:rPr>
          <w:sz w:val="28"/>
          <w:szCs w:val="28"/>
        </w:rPr>
        <w:t>̂</w:t>
      </w:r>
      <w:r w:rsidRPr="003F0948">
        <w:rPr>
          <w:rFonts w:ascii="Garamond" w:hAnsi="Garamond"/>
          <w:sz w:val="28"/>
          <w:szCs w:val="28"/>
        </w:rPr>
        <w:t xml:space="preserve"> e criteri direttivi e soltanto per tempo limitato e per oggetti definiti. </w:t>
      </w:r>
    </w:p>
    <w:p w14:paraId="0FD43A46" w14:textId="77777777" w:rsidR="003B63A6" w:rsidRPr="003F0948" w:rsidRDefault="003B63A6" w:rsidP="00C96037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>A</w:t>
      </w:r>
      <w:r w:rsidR="001D0EF0">
        <w:rPr>
          <w:rFonts w:ascii="Garamond" w:hAnsi="Garamond"/>
          <w:sz w:val="28"/>
          <w:szCs w:val="28"/>
        </w:rPr>
        <w:t>rt</w:t>
      </w:r>
      <w:r w:rsidRPr="003F0948">
        <w:rPr>
          <w:rFonts w:ascii="Garamond" w:hAnsi="Garamond"/>
          <w:sz w:val="28"/>
          <w:szCs w:val="28"/>
        </w:rPr>
        <w:t>. 77</w:t>
      </w:r>
    </w:p>
    <w:p w14:paraId="5BCC4B39" w14:textId="77777777" w:rsidR="003B63A6" w:rsidRPr="003F0948" w:rsidRDefault="003B63A6" w:rsidP="00C96037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>Il Governo non pu</w:t>
      </w:r>
      <w:r w:rsidR="007F2CC2" w:rsidRPr="003F0948">
        <w:rPr>
          <w:rFonts w:ascii="Garamond" w:hAnsi="Garamond"/>
          <w:sz w:val="28"/>
          <w:szCs w:val="28"/>
        </w:rPr>
        <w:t>ò</w:t>
      </w:r>
      <w:r w:rsidRPr="003F0948">
        <w:rPr>
          <w:rFonts w:ascii="Garamond" w:hAnsi="Garamond"/>
          <w:sz w:val="28"/>
          <w:szCs w:val="28"/>
        </w:rPr>
        <w:t>, senza delegazione delle Camere, emanare decreti che abbiano valore di legge ordinaria.</w:t>
      </w:r>
      <w:r w:rsidRPr="003F0948">
        <w:rPr>
          <w:rFonts w:ascii="Garamond" w:hAnsi="Garamond"/>
          <w:sz w:val="28"/>
          <w:szCs w:val="28"/>
        </w:rPr>
        <w:br/>
        <w:t>Quando, in casi straordinari di necessità e d’urgenza, il Governo adotta, sotto la sua responsabilit</w:t>
      </w:r>
      <w:r w:rsidR="007F2CC2" w:rsidRPr="003F0948">
        <w:rPr>
          <w:rFonts w:ascii="Garamond" w:hAnsi="Garamond"/>
          <w:sz w:val="28"/>
          <w:szCs w:val="28"/>
        </w:rPr>
        <w:t>à</w:t>
      </w:r>
      <w:r w:rsidRPr="003F0948">
        <w:rPr>
          <w:rFonts w:ascii="Garamond" w:hAnsi="Garamond"/>
          <w:sz w:val="28"/>
          <w:szCs w:val="28"/>
        </w:rPr>
        <w:t xml:space="preserve">, provvedimenti provvisori con forza di legge, deve il giorno stesso presentarli per la conversione alle Camere che, anche se sciolte, sono appositamente convocate e si riuniscono entro cinque giorni. </w:t>
      </w:r>
    </w:p>
    <w:p w14:paraId="476EA199" w14:textId="77777777" w:rsidR="003B63A6" w:rsidRPr="003F0948" w:rsidRDefault="003B63A6" w:rsidP="00C96037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3F0948">
        <w:rPr>
          <w:rFonts w:ascii="Garamond" w:hAnsi="Garamond"/>
          <w:sz w:val="28"/>
          <w:szCs w:val="28"/>
        </w:rPr>
        <w:t>I decreti perdono efficacia sin dall’inizio, se non sono convertiti in legge entro sessanta giorni dalla loro pubblicazione. Le Camere possono tuttavia regolare con legge i rapporti giuridici sorti sulla base dei decreti non convertiti.</w:t>
      </w:r>
      <w:r w:rsidR="001D0EF0">
        <w:rPr>
          <w:rFonts w:ascii="Garamond" w:hAnsi="Garamond"/>
          <w:sz w:val="28"/>
          <w:szCs w:val="28"/>
        </w:rPr>
        <w:t>”</w:t>
      </w:r>
    </w:p>
    <w:p w14:paraId="7A3A46E4" w14:textId="77777777" w:rsidR="003B63A6" w:rsidRPr="003F0948" w:rsidRDefault="003B63A6" w:rsidP="00C96037">
      <w:pPr>
        <w:spacing w:before="100" w:beforeAutospacing="1" w:after="100" w:afterAutospacing="1"/>
        <w:jc w:val="both"/>
        <w:rPr>
          <w:rStyle w:val="Enfasigrassetto"/>
          <w:rFonts w:ascii="Garamond" w:eastAsia="Times New Roman" w:hAnsi="Garamond" w:cs="Times New Roman"/>
          <w:bCs w:val="0"/>
          <w:sz w:val="28"/>
          <w:szCs w:val="28"/>
          <w:u w:val="single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Cs w:val="0"/>
          <w:sz w:val="28"/>
          <w:szCs w:val="28"/>
          <w:u w:val="single"/>
          <w:lang w:eastAsia="it-IT"/>
        </w:rPr>
        <w:t xml:space="preserve">Riguardo alle questioni specifiche </w:t>
      </w:r>
    </w:p>
    <w:p w14:paraId="28BE90A4" w14:textId="77777777" w:rsidR="00203BEB" w:rsidRPr="00DA00B8" w:rsidRDefault="003B63A6" w:rsidP="00C96037">
      <w:pPr>
        <w:pStyle w:val="NormaleWeb"/>
        <w:numPr>
          <w:ilvl w:val="0"/>
          <w:numId w:val="1"/>
        </w:numPr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3F0948">
        <w:rPr>
          <w:rStyle w:val="Enfasigrassetto"/>
          <w:rFonts w:ascii="Garamond" w:hAnsi="Garamond"/>
          <w:b w:val="0"/>
          <w:bCs w:val="0"/>
          <w:sz w:val="28"/>
          <w:szCs w:val="28"/>
        </w:rPr>
        <w:t>Come menzionato sopra, dal punto di vista costituzionale, il principio generale di uguaglianza tra donne e uomini è sancito</w:t>
      </w:r>
      <w:r w:rsidR="00203BEB" w:rsidRPr="003F0948">
        <w:rPr>
          <w:rStyle w:val="Enfasigrassetto"/>
          <w:rFonts w:ascii="Garamond" w:hAnsi="Garamond"/>
          <w:b w:val="0"/>
          <w:bCs w:val="0"/>
          <w:sz w:val="28"/>
          <w:szCs w:val="28"/>
        </w:rPr>
        <w:t xml:space="preserve"> dall’art. 3 della Costituzione </w:t>
      </w:r>
      <w:r w:rsidR="00DA00B8" w:rsidRPr="00DA00B8">
        <w:rPr>
          <w:rStyle w:val="Enfasigrassetto"/>
          <w:rFonts w:ascii="Garamond" w:hAnsi="Garamond"/>
          <w:b w:val="0"/>
          <w:bCs w:val="0"/>
          <w:i/>
          <w:sz w:val="28"/>
          <w:szCs w:val="28"/>
        </w:rPr>
        <w:t>“</w:t>
      </w:r>
      <w:r w:rsidR="00203BEB" w:rsidRPr="00DA00B8">
        <w:rPr>
          <w:rFonts w:ascii="Garamond" w:hAnsi="Garamond"/>
          <w:i/>
          <w:sz w:val="28"/>
          <w:szCs w:val="28"/>
        </w:rPr>
        <w:t>Tutti i cittadini hanno pari dignit</w:t>
      </w:r>
      <w:r w:rsidR="007F2CC2" w:rsidRPr="00DA00B8">
        <w:rPr>
          <w:rFonts w:ascii="Garamond" w:hAnsi="Garamond"/>
          <w:i/>
          <w:sz w:val="28"/>
          <w:szCs w:val="28"/>
        </w:rPr>
        <w:t>à</w:t>
      </w:r>
      <w:r w:rsidR="00203BEB" w:rsidRPr="00DA00B8">
        <w:rPr>
          <w:rFonts w:ascii="Garamond" w:hAnsi="Garamond"/>
          <w:i/>
          <w:sz w:val="28"/>
          <w:szCs w:val="28"/>
        </w:rPr>
        <w:t xml:space="preserve"> sociale e sono eguali davanti alla legge, senza distinzione di sesso, di razza, di lingua, di religione, di opinioni politiche, di condizioni personali e sociali.</w:t>
      </w:r>
      <w:r w:rsidR="00DA00B8" w:rsidRPr="00DA00B8">
        <w:rPr>
          <w:rFonts w:ascii="Garamond" w:hAnsi="Garamond"/>
          <w:i/>
          <w:sz w:val="28"/>
          <w:szCs w:val="28"/>
        </w:rPr>
        <w:t xml:space="preserve"> </w:t>
      </w:r>
      <w:r w:rsidR="00203BEB" w:rsidRPr="00DA00B8">
        <w:rPr>
          <w:rFonts w:ascii="Garamond" w:hAnsi="Garamond"/>
          <w:i/>
          <w:sz w:val="28"/>
          <w:szCs w:val="28"/>
        </w:rPr>
        <w:t>È compito della Repubblica rimuovere gli ostacoli di ordine economico e sociale, che, limitando di fatto la libert</w:t>
      </w:r>
      <w:r w:rsidR="00DA00B8" w:rsidRPr="00DA00B8">
        <w:rPr>
          <w:rFonts w:ascii="Garamond" w:hAnsi="Garamond"/>
          <w:i/>
          <w:sz w:val="28"/>
          <w:szCs w:val="28"/>
        </w:rPr>
        <w:t>à</w:t>
      </w:r>
      <w:r w:rsidR="00203BEB" w:rsidRPr="00DA00B8">
        <w:rPr>
          <w:rFonts w:ascii="Garamond" w:hAnsi="Garamond"/>
          <w:i/>
          <w:sz w:val="28"/>
          <w:szCs w:val="28"/>
        </w:rPr>
        <w:t xml:space="preserve"> e l’eguaglianza dei cittadini, impediscono il pieno sviluppo della persona umana e l’effettiva partecipazione di tutti i lavoratori all’organizzazione politica, economica e sociale del Paese”</w:t>
      </w:r>
      <w:r w:rsidR="00203BEB" w:rsidRPr="003F0948">
        <w:rPr>
          <w:rFonts w:ascii="Garamond" w:hAnsi="Garamond"/>
          <w:sz w:val="28"/>
          <w:szCs w:val="28"/>
        </w:rPr>
        <w:t>. Per ulteriori dettagli, e una panoramica più specifica su</w:t>
      </w:r>
      <w:r w:rsidR="00DA00B8">
        <w:rPr>
          <w:rFonts w:ascii="Garamond" w:hAnsi="Garamond"/>
          <w:sz w:val="28"/>
          <w:szCs w:val="28"/>
        </w:rPr>
        <w:t>lla</w:t>
      </w:r>
      <w:r w:rsidR="00203BEB" w:rsidRPr="003F0948">
        <w:rPr>
          <w:rFonts w:ascii="Garamond" w:hAnsi="Garamond"/>
          <w:sz w:val="28"/>
          <w:szCs w:val="28"/>
        </w:rPr>
        <w:t xml:space="preserve"> Costituzione, i poteri dello Stat</w:t>
      </w:r>
      <w:r w:rsidR="00DA00B8">
        <w:rPr>
          <w:rFonts w:ascii="Garamond" w:hAnsi="Garamond"/>
          <w:sz w:val="28"/>
          <w:szCs w:val="28"/>
        </w:rPr>
        <w:t>o</w:t>
      </w:r>
      <w:r w:rsidR="00203BEB" w:rsidRPr="003F0948">
        <w:rPr>
          <w:rFonts w:ascii="Garamond" w:hAnsi="Garamond"/>
          <w:sz w:val="28"/>
          <w:szCs w:val="28"/>
        </w:rPr>
        <w:t xml:space="preserve"> e le garanzie costituzional</w:t>
      </w:r>
      <w:r w:rsidR="00DA00B8">
        <w:rPr>
          <w:rFonts w:ascii="Garamond" w:hAnsi="Garamond"/>
          <w:sz w:val="28"/>
          <w:szCs w:val="28"/>
        </w:rPr>
        <w:t>i</w:t>
      </w:r>
      <w:r w:rsidR="00203BEB" w:rsidRPr="003F0948">
        <w:rPr>
          <w:rFonts w:ascii="Garamond" w:hAnsi="Garamond"/>
          <w:sz w:val="28"/>
          <w:szCs w:val="28"/>
        </w:rPr>
        <w:t xml:space="preserve"> e non costituzionali, si rinvia al </w:t>
      </w:r>
      <w:r w:rsidR="00203BEB" w:rsidRPr="00DA00B8">
        <w:rPr>
          <w:rFonts w:ascii="Garamond" w:hAnsi="Garamond"/>
          <w:sz w:val="28"/>
          <w:szCs w:val="28"/>
        </w:rPr>
        <w:t>“</w:t>
      </w:r>
      <w:r w:rsidR="00DA00B8" w:rsidRPr="00DA00B8">
        <w:rPr>
          <w:rFonts w:ascii="Garamond" w:hAnsi="Garamond"/>
          <w:sz w:val="28"/>
          <w:szCs w:val="28"/>
        </w:rPr>
        <w:t>C</w:t>
      </w:r>
      <w:r w:rsidR="00203BEB" w:rsidRPr="00DA00B8">
        <w:rPr>
          <w:rFonts w:ascii="Garamond" w:hAnsi="Garamond"/>
          <w:sz w:val="28"/>
          <w:szCs w:val="28"/>
        </w:rPr>
        <w:t xml:space="preserve">ommon core </w:t>
      </w:r>
      <w:proofErr w:type="spellStart"/>
      <w:r w:rsidR="00203BEB" w:rsidRPr="00DA00B8">
        <w:rPr>
          <w:rFonts w:ascii="Garamond" w:hAnsi="Garamond"/>
          <w:sz w:val="28"/>
          <w:szCs w:val="28"/>
        </w:rPr>
        <w:t>document</w:t>
      </w:r>
      <w:proofErr w:type="spellEnd"/>
      <w:r w:rsidR="00DA00B8" w:rsidRPr="00DA00B8">
        <w:rPr>
          <w:rFonts w:ascii="Garamond" w:hAnsi="Garamond"/>
          <w:sz w:val="28"/>
          <w:szCs w:val="28"/>
        </w:rPr>
        <w:t>” dell’Italia, incluso tra i rapporti degli Stati Parte</w:t>
      </w:r>
      <w:r w:rsidR="00203BEB" w:rsidRPr="00DA00B8">
        <w:rPr>
          <w:rFonts w:ascii="Garamond" w:hAnsi="Garamond"/>
          <w:sz w:val="28"/>
          <w:szCs w:val="28"/>
        </w:rPr>
        <w:t xml:space="preserve"> </w:t>
      </w:r>
      <w:r w:rsidR="00DA00B8" w:rsidRPr="00DA00B8">
        <w:rPr>
          <w:rFonts w:ascii="Garamond" w:hAnsi="Garamond"/>
          <w:sz w:val="28"/>
          <w:szCs w:val="28"/>
        </w:rPr>
        <w:t xml:space="preserve">ONU </w:t>
      </w:r>
      <w:r w:rsidR="00203BEB" w:rsidRPr="00DA00B8">
        <w:rPr>
          <w:rFonts w:ascii="Garamond" w:hAnsi="Garamond"/>
          <w:sz w:val="28"/>
          <w:szCs w:val="28"/>
        </w:rPr>
        <w:t xml:space="preserve">(UN Doc. HRI/CORE/ITA/2016, datato </w:t>
      </w:r>
      <w:r w:rsidR="00DA00B8" w:rsidRPr="00DA00B8">
        <w:rPr>
          <w:rFonts w:ascii="Garamond" w:hAnsi="Garamond"/>
          <w:sz w:val="28"/>
          <w:szCs w:val="28"/>
        </w:rPr>
        <w:t>25 luglio</w:t>
      </w:r>
      <w:r w:rsidR="00203BEB" w:rsidRPr="00DA00B8">
        <w:rPr>
          <w:rFonts w:ascii="Garamond" w:hAnsi="Garamond"/>
          <w:sz w:val="28"/>
          <w:szCs w:val="28"/>
        </w:rPr>
        <w:t xml:space="preserve"> 2016). </w:t>
      </w:r>
    </w:p>
    <w:p w14:paraId="31BFA824" w14:textId="77777777" w:rsidR="003B63A6" w:rsidRPr="003F0948" w:rsidRDefault="00203BEB" w:rsidP="00C96037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Per quanto concer</w:t>
      </w:r>
      <w:r w:rsidR="007F2CC2"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n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e l’atto del Senato n. 735 (A.S. 735), il primo firmatario di questo disegno di legge è il senatore Simone </w:t>
      </w:r>
      <w:proofErr w:type="spellStart"/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Pillon</w:t>
      </w:r>
      <w:proofErr w:type="spellEnd"/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(per tale ragione il testo è noto come il cosiddetto “decreto </w:t>
      </w:r>
      <w:proofErr w:type="spellStart"/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Pillon</w:t>
      </w:r>
      <w:proofErr w:type="spellEnd"/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”). Tale testo è stato presentato per la prima volta lo scorso 1</w:t>
      </w:r>
      <w:r w:rsidR="007F2CC2"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agosto 2018 alla Commissione Giustizia del Senato. Questo disegno di legge è ancora pendente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presso il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</w:t>
      </w:r>
      <w:r w:rsidR="00DA00B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P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arlamento. In particolare, è attualmente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sotto l’esame</w:t>
      </w:r>
      <w:r w:rsidR="00396D14"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d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e</w:t>
      </w:r>
      <w:r w:rsidR="00396D14"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lla Commissione Giustizia del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S</w:t>
      </w:r>
      <w:r w:rsidR="00396D14"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enato in sede referente. </w:t>
      </w:r>
    </w:p>
    <w:p w14:paraId="20A22846" w14:textId="77777777" w:rsidR="00396D14" w:rsidRPr="003F0948" w:rsidRDefault="00396D14" w:rsidP="00C96037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Nel corso degli ultimi mesi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,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la sopra citata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C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ommissione ha richiesto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l’opinione sul disegno di legge 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alle seguenti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C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ommissioni del Senato: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A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ffari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C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ostituzionali,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B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ilancio,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F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inanze,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P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ubblica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Istruzione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,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L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avoro,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S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alute,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A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ffari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E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steri ed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E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uropei e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A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ffari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R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egionali. </w:t>
      </w:r>
    </w:p>
    <w:p w14:paraId="07EFCBF1" w14:textId="77777777" w:rsidR="00396D14" w:rsidRPr="003F0948" w:rsidRDefault="00396D14" w:rsidP="00C96037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Per quanto riguarda le iniziative intraprese dalla Municipalità di Roma (Roma Capitale)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in merito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a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gli edifici usati da organizzazioni senza fini di lucro per fornire rifugio e supporto alle donne che sono state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vittime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</w:t>
      </w:r>
      <w:r w:rsidR="00EE73A1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di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violenza domestica o di genere, siamo nelle condizioni di riferire quanto segue:</w:t>
      </w:r>
    </w:p>
    <w:p w14:paraId="156F8D1B" w14:textId="77777777" w:rsidR="006A0C4B" w:rsidRPr="00C96037" w:rsidRDefault="006E3AFF" w:rsidP="00C96037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</w:pPr>
      <w:r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“</w:t>
      </w:r>
      <w:r w:rsidR="00EE73A1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S</w:t>
      </w:r>
      <w:r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entiti gli uffici competenti, </w:t>
      </w:r>
      <w:r w:rsidR="00F17D6B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non sembra esserci alcuna</w:t>
      </w:r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“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there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appears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to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have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no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loan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granted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breaking legislative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decree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n. 117/2017, nemmeno che Roma Capitale abbia intrapreso iniziative dirette ad ottenere il pagamento di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undue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 xml:space="preserve"> </w:t>
      </w:r>
      <w:proofErr w:type="spellStart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leases</w:t>
      </w:r>
      <w:proofErr w:type="spellEnd"/>
      <w:r w:rsidR="00AC092E" w:rsidRP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highlight w:val="yellow"/>
          <w:lang w:eastAsia="it-IT"/>
        </w:rPr>
        <w:t>”.</w:t>
      </w:r>
    </w:p>
    <w:p w14:paraId="73851341" w14:textId="77777777" w:rsidR="006A0C4B" w:rsidRPr="003F0948" w:rsidRDefault="006A0C4B" w:rsidP="00C96037">
      <w:pPr>
        <w:spacing w:before="100" w:beforeAutospacing="1" w:after="100" w:afterAutospacing="1"/>
        <w:ind w:left="360"/>
        <w:jc w:val="both"/>
        <w:rPr>
          <w:rStyle w:val="Enfasigrassetto"/>
          <w:rFonts w:ascii="Garamond" w:eastAsia="Times New Roman" w:hAnsi="Garamond" w:cs="Times New Roman"/>
          <w:bCs w:val="0"/>
          <w:sz w:val="28"/>
          <w:szCs w:val="28"/>
          <w:u w:val="single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Cs w:val="0"/>
          <w:sz w:val="28"/>
          <w:szCs w:val="28"/>
          <w:u w:val="single"/>
          <w:lang w:eastAsia="it-IT"/>
        </w:rPr>
        <w:t xml:space="preserve">Conclusioni </w:t>
      </w:r>
    </w:p>
    <w:p w14:paraId="5340ABA2" w14:textId="77777777" w:rsidR="00F76ED6" w:rsidRPr="003F0948" w:rsidRDefault="006A0C4B" w:rsidP="00C96037">
      <w:pPr>
        <w:spacing w:before="100" w:beforeAutospacing="1" w:after="100" w:afterAutospacing="1"/>
        <w:ind w:left="360"/>
        <w:jc w:val="both"/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Le autorità italiane colgono questa occasione per </w:t>
      </w:r>
      <w:r w:rsid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reiterare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il proprio impegno a cooperare completamente con le Procedure Speciali delle </w:t>
      </w:r>
      <w:r w:rsid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N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azioni </w:t>
      </w:r>
      <w:r w:rsid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U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nite e tutti gli altri meccanismi internazionali rilevanti.</w:t>
      </w:r>
    </w:p>
    <w:p w14:paraId="73054BFA" w14:textId="77777777" w:rsidR="006A0C4B" w:rsidRPr="003F0948" w:rsidRDefault="006A0C4B" w:rsidP="00C96037">
      <w:pPr>
        <w:spacing w:before="100" w:beforeAutospacing="1" w:after="100" w:afterAutospacing="1"/>
        <w:ind w:left="360"/>
        <w:jc w:val="both"/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</w:pP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Le autorità italiane resteranno investite della questione e invieranno ulteriori elementi appena</w:t>
      </w:r>
      <w:r w:rsid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questi</w:t>
      </w:r>
      <w:r w:rsidRPr="003F0948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 xml:space="preserve"> saranno </w:t>
      </w:r>
      <w:r w:rsidR="00C96037">
        <w:rPr>
          <w:rStyle w:val="Enfasigrassetto"/>
          <w:rFonts w:ascii="Garamond" w:eastAsia="Times New Roman" w:hAnsi="Garamond" w:cs="Times New Roman"/>
          <w:b w:val="0"/>
          <w:bCs w:val="0"/>
          <w:sz w:val="28"/>
          <w:szCs w:val="28"/>
          <w:lang w:eastAsia="it-IT"/>
        </w:rPr>
        <w:t>resi disponibili.</w:t>
      </w:r>
    </w:p>
    <w:p w14:paraId="2D40A5C4" w14:textId="77777777" w:rsidR="003F3028" w:rsidRPr="003F0948" w:rsidRDefault="003F3028" w:rsidP="00C96037">
      <w:pPr>
        <w:jc w:val="both"/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</w:pPr>
      <w:r w:rsidRPr="003F0948">
        <w:rPr>
          <w:rStyle w:val="Enfasigrassetto"/>
          <w:rFonts w:ascii="Garamond" w:hAnsi="Garamond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4241211" w14:textId="77777777" w:rsidR="003F3028" w:rsidRPr="003F0948" w:rsidRDefault="003F3028" w:rsidP="00C96037">
      <w:pPr>
        <w:jc w:val="both"/>
        <w:rPr>
          <w:rFonts w:ascii="Garamond" w:hAnsi="Garamond"/>
          <w:sz w:val="28"/>
          <w:szCs w:val="28"/>
        </w:rPr>
      </w:pPr>
    </w:p>
    <w:sectPr w:rsidR="003F3028" w:rsidRPr="003F0948" w:rsidSect="00AB40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5321" w14:textId="77777777" w:rsidR="0019530C" w:rsidRDefault="0019530C" w:rsidP="0009301F">
      <w:r>
        <w:separator/>
      </w:r>
    </w:p>
  </w:endnote>
  <w:endnote w:type="continuationSeparator" w:id="0">
    <w:p w14:paraId="6EC8DDEA" w14:textId="77777777" w:rsidR="0019530C" w:rsidRDefault="0019530C" w:rsidP="000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5E30E" w14:textId="77777777" w:rsidR="0019530C" w:rsidRDefault="0019530C" w:rsidP="0009301F">
      <w:r>
        <w:separator/>
      </w:r>
    </w:p>
  </w:footnote>
  <w:footnote w:type="continuationSeparator" w:id="0">
    <w:p w14:paraId="576764EE" w14:textId="77777777" w:rsidR="0019530C" w:rsidRDefault="0019530C" w:rsidP="0009301F">
      <w:r>
        <w:continuationSeparator/>
      </w:r>
    </w:p>
  </w:footnote>
  <w:footnote w:id="1">
    <w:p w14:paraId="56BC9841" w14:textId="77777777" w:rsidR="00B02AC4" w:rsidRPr="00550727" w:rsidRDefault="00B02AC4" w:rsidP="00B02AC4">
      <w:pPr>
        <w:pStyle w:val="Testonotaapidipagina"/>
        <w:jc w:val="both"/>
        <w:rPr>
          <w:rFonts w:ascii="Garamond" w:hAnsi="Garamond"/>
        </w:rPr>
      </w:pPr>
      <w:r w:rsidRPr="00550727">
        <w:rPr>
          <w:rFonts w:ascii="Garamond" w:hAnsi="Garamond"/>
        </w:rPr>
        <w:t xml:space="preserve">Traduzione non ufficiale fatta da Avv. Elena </w:t>
      </w:r>
      <w:proofErr w:type="spellStart"/>
      <w:r w:rsidRPr="00550727">
        <w:rPr>
          <w:rFonts w:ascii="Garamond" w:hAnsi="Garamond"/>
        </w:rPr>
        <w:t>Biaggioni</w:t>
      </w:r>
      <w:proofErr w:type="spellEnd"/>
      <w:r w:rsidRPr="00550727">
        <w:rPr>
          <w:rFonts w:ascii="Garamond" w:hAnsi="Garamond"/>
        </w:rPr>
        <w:t xml:space="preserve"> e Dott.ssa Sarah Lupi. Per qualunque segnalazione, studio@biaggioni.it</w:t>
      </w:r>
    </w:p>
  </w:footnote>
  <w:footnote w:id="2">
    <w:p w14:paraId="1C29CC4F" w14:textId="77777777" w:rsidR="0009301F" w:rsidRPr="00550727" w:rsidRDefault="0009301F" w:rsidP="00B02AC4">
      <w:pPr>
        <w:pStyle w:val="Testonotaapidipagina"/>
        <w:jc w:val="both"/>
        <w:rPr>
          <w:rFonts w:ascii="Garamond" w:hAnsi="Garamond"/>
        </w:rPr>
      </w:pPr>
      <w:r w:rsidRPr="00550727">
        <w:rPr>
          <w:rStyle w:val="Rimandonotaapidipagina"/>
          <w:rFonts w:ascii="Garamond" w:hAnsi="Garamond"/>
        </w:rPr>
        <w:footnoteRef/>
      </w:r>
      <w:r w:rsidRPr="00550727">
        <w:rPr>
          <w:rFonts w:ascii="Garamond" w:hAnsi="Garamond"/>
        </w:rPr>
        <w:t xml:space="preserve"> La Corte Costituzionale consiste di 15 giudici; 1/3 designati dal Presidente della Repubblica, 1/3 dal Parlamento in seduta comune, e 1/3 </w:t>
      </w:r>
      <w:proofErr w:type="gramStart"/>
      <w:r w:rsidRPr="00550727">
        <w:rPr>
          <w:rFonts w:ascii="Garamond" w:hAnsi="Garamond"/>
        </w:rPr>
        <w:t>dalle corti</w:t>
      </w:r>
      <w:proofErr w:type="gramEnd"/>
      <w:r w:rsidRPr="00550727">
        <w:rPr>
          <w:rFonts w:ascii="Garamond" w:hAnsi="Garamond"/>
        </w:rPr>
        <w:t xml:space="preserve"> superiori ordinarie e amministrative.</w:t>
      </w:r>
    </w:p>
  </w:footnote>
  <w:footnote w:id="3">
    <w:p w14:paraId="0A8FAC3F" w14:textId="77777777" w:rsidR="00C17180" w:rsidRPr="00550727" w:rsidRDefault="00C17180" w:rsidP="00B02AC4">
      <w:pPr>
        <w:pStyle w:val="Testonotaapidipagina"/>
        <w:jc w:val="both"/>
        <w:rPr>
          <w:rFonts w:ascii="Garamond" w:hAnsi="Garamond"/>
        </w:rPr>
      </w:pPr>
      <w:r w:rsidRPr="00550727">
        <w:rPr>
          <w:rStyle w:val="Rimandonotaapidipagina"/>
          <w:rFonts w:ascii="Garamond" w:hAnsi="Garamond"/>
        </w:rPr>
        <w:footnoteRef/>
      </w:r>
      <w:r w:rsidRPr="00550727">
        <w:rPr>
          <w:rFonts w:ascii="Garamond" w:hAnsi="Garamond"/>
        </w:rPr>
        <w:t xml:space="preserve"> </w:t>
      </w:r>
      <w:r w:rsidR="00550727" w:rsidRPr="00550727">
        <w:rPr>
          <w:rFonts w:ascii="Garamond" w:hAnsi="Garamond"/>
          <w:i/>
        </w:rPr>
        <w:t>[</w:t>
      </w:r>
      <w:proofErr w:type="spellStart"/>
      <w:r w:rsidRPr="00550727">
        <w:rPr>
          <w:rFonts w:ascii="Garamond" w:hAnsi="Garamond"/>
          <w:i/>
        </w:rPr>
        <w:t>NdT</w:t>
      </w:r>
      <w:proofErr w:type="spellEnd"/>
      <w:r w:rsidR="00550727" w:rsidRPr="00550727">
        <w:rPr>
          <w:rFonts w:ascii="Garamond" w:hAnsi="Garamond"/>
          <w:i/>
        </w:rPr>
        <w:t>]</w:t>
      </w:r>
      <w:r w:rsidRPr="00550727">
        <w:rPr>
          <w:rFonts w:ascii="Garamond" w:hAnsi="Garamond"/>
          <w:i/>
        </w:rPr>
        <w:t xml:space="preserve"> </w:t>
      </w:r>
      <w:r w:rsidR="00550727">
        <w:rPr>
          <w:rFonts w:ascii="Garamond" w:hAnsi="Garamond"/>
        </w:rPr>
        <w:t>N</w:t>
      </w:r>
      <w:r w:rsidRPr="00550727">
        <w:rPr>
          <w:rFonts w:ascii="Garamond" w:hAnsi="Garamond"/>
        </w:rPr>
        <w:t xml:space="preserve">el seguente paragrafo è presente un’ambiguità di fondo in merito al termine “Corte” ove non si specifica se sia la Corte Costituzionale o il giudice rimettente. È il giudice rimettente che valuta rilevanza e non manifesta infondatezza della questione di legittimità costituzionale e che eventualmente sospende il procedimento </w:t>
      </w:r>
      <w:r w:rsidRPr="00550727">
        <w:rPr>
          <w:rFonts w:ascii="Garamond" w:hAnsi="Garamond"/>
          <w:i/>
        </w:rPr>
        <w:t>a quo</w:t>
      </w:r>
      <w:r w:rsidRPr="00550727">
        <w:rPr>
          <w:rFonts w:ascii="Garamond" w:hAnsi="Garamond"/>
        </w:rPr>
        <w:t>. Mentre la decisione sulla legittimità costituzion</w:t>
      </w:r>
      <w:r w:rsidR="00874CC6" w:rsidRPr="00550727">
        <w:rPr>
          <w:rFonts w:ascii="Garamond" w:hAnsi="Garamond"/>
        </w:rPr>
        <w:t>a</w:t>
      </w:r>
      <w:r w:rsidRPr="00550727">
        <w:rPr>
          <w:rFonts w:ascii="Garamond" w:hAnsi="Garamond"/>
        </w:rPr>
        <w:t>le della norma è presa, ai sensi dell’art. 134, dalla sola Corte Costituzionale</w:t>
      </w:r>
      <w:r w:rsidR="00874CC6" w:rsidRPr="00550727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9D3"/>
    <w:multiLevelType w:val="hybridMultilevel"/>
    <w:tmpl w:val="4AC61692"/>
    <w:lvl w:ilvl="0" w:tplc="E354CDD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E0BC5"/>
    <w:multiLevelType w:val="hybridMultilevel"/>
    <w:tmpl w:val="18ACC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28"/>
    <w:rsid w:val="0009301F"/>
    <w:rsid w:val="0019530C"/>
    <w:rsid w:val="001D0EF0"/>
    <w:rsid w:val="00203BEB"/>
    <w:rsid w:val="002C37A0"/>
    <w:rsid w:val="00396D14"/>
    <w:rsid w:val="003B63A6"/>
    <w:rsid w:val="003F0948"/>
    <w:rsid w:val="003F3028"/>
    <w:rsid w:val="0049728F"/>
    <w:rsid w:val="00550727"/>
    <w:rsid w:val="006A0C4B"/>
    <w:rsid w:val="006E3AFF"/>
    <w:rsid w:val="00705E03"/>
    <w:rsid w:val="007816AC"/>
    <w:rsid w:val="007B5DDE"/>
    <w:rsid w:val="007B609E"/>
    <w:rsid w:val="007F2CC2"/>
    <w:rsid w:val="00874CC6"/>
    <w:rsid w:val="008B584F"/>
    <w:rsid w:val="00AB4080"/>
    <w:rsid w:val="00AB4DD5"/>
    <w:rsid w:val="00AC092E"/>
    <w:rsid w:val="00B02AC4"/>
    <w:rsid w:val="00C17180"/>
    <w:rsid w:val="00C253E2"/>
    <w:rsid w:val="00C53949"/>
    <w:rsid w:val="00C96037"/>
    <w:rsid w:val="00D70683"/>
    <w:rsid w:val="00DA00B8"/>
    <w:rsid w:val="00DD6122"/>
    <w:rsid w:val="00E217E5"/>
    <w:rsid w:val="00E34A25"/>
    <w:rsid w:val="00EE73A1"/>
    <w:rsid w:val="00F17D6B"/>
    <w:rsid w:val="00F76ED6"/>
    <w:rsid w:val="00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B02E7"/>
  <w15:docId w15:val="{DABECAFC-A955-4AAD-AAF5-868430B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F302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F302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4A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30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30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301F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B63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2A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AC4"/>
  </w:style>
  <w:style w:type="paragraph" w:styleId="Pidipagina">
    <w:name w:val="footer"/>
    <w:basedOn w:val="Normale"/>
    <w:link w:val="PidipaginaCarattere"/>
    <w:uiPriority w:val="99"/>
    <w:unhideWhenUsed/>
    <w:rsid w:val="00B02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364EEE-7E37-4BD2-AA09-A2B1C181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Biaggioni</dc:creator>
  <cp:keywords/>
  <dc:description/>
  <cp:lastModifiedBy>Claudia Pividori</cp:lastModifiedBy>
  <cp:revision>2</cp:revision>
  <dcterms:created xsi:type="dcterms:W3CDTF">2021-11-16T15:48:00Z</dcterms:created>
  <dcterms:modified xsi:type="dcterms:W3CDTF">2021-11-16T15:48:00Z</dcterms:modified>
</cp:coreProperties>
</file>