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ED" w:rsidRPr="00AB37CB" w:rsidRDefault="003A4838" w:rsidP="005D2F58">
      <w:pPr>
        <w:jc w:val="both"/>
        <w:rPr>
          <w:rFonts w:ascii="Verdana" w:hAnsi="Verdana" w:cs="Arial"/>
          <w:b/>
          <w:sz w:val="28"/>
          <w:szCs w:val="28"/>
        </w:rPr>
      </w:pPr>
      <w:r w:rsidRPr="00AB37CB">
        <w:rPr>
          <w:rFonts w:ascii="Verdana" w:hAnsi="Verdana" w:cs="Arial"/>
          <w:b/>
          <w:sz w:val="28"/>
          <w:szCs w:val="28"/>
        </w:rPr>
        <w:t>La violenza contro le donne da parte del partner è un fattore essenziale nella determinazione della custodia dei figli, affermano</w:t>
      </w:r>
      <w:r w:rsidR="005D2F58" w:rsidRPr="00AB37CB">
        <w:rPr>
          <w:rFonts w:ascii="Verdana" w:hAnsi="Verdana" w:cs="Arial"/>
          <w:b/>
          <w:sz w:val="28"/>
          <w:szCs w:val="28"/>
        </w:rPr>
        <w:t xml:space="preserve"> le esperte </w:t>
      </w:r>
      <w:r w:rsidRPr="00AB37CB">
        <w:rPr>
          <w:rFonts w:ascii="Verdana" w:hAnsi="Verdana" w:cs="Arial"/>
          <w:b/>
          <w:sz w:val="28"/>
          <w:szCs w:val="28"/>
        </w:rPr>
        <w:t>di diritti delle donne</w:t>
      </w:r>
      <w:r w:rsidR="0034080D" w:rsidRPr="00AB37CB">
        <w:rPr>
          <w:rStyle w:val="Rimandonotaapidipagina"/>
          <w:rFonts w:ascii="Verdana" w:hAnsi="Verdana" w:cs="Arial"/>
          <w:b/>
          <w:sz w:val="28"/>
          <w:szCs w:val="28"/>
        </w:rPr>
        <w:footnoteReference w:id="1"/>
      </w:r>
    </w:p>
    <w:p w:rsidR="003A4838" w:rsidRPr="00AB37CB" w:rsidRDefault="003A4838" w:rsidP="005D2F58">
      <w:pPr>
        <w:jc w:val="both"/>
        <w:rPr>
          <w:rFonts w:ascii="Verdana" w:hAnsi="Verdana" w:cs="Arial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 xml:space="preserve">(31 maggio 2019) La Piattaforma dei </w:t>
      </w:r>
      <w:r w:rsidR="00F8217D" w:rsidRPr="00AB37CB">
        <w:rPr>
          <w:rFonts w:ascii="Verdana" w:hAnsi="Verdana" w:cs="Arial"/>
          <w:sz w:val="23"/>
          <w:szCs w:val="22"/>
        </w:rPr>
        <w:t xml:space="preserve">sottoscritti </w:t>
      </w:r>
      <w:r w:rsidRPr="00AB37CB">
        <w:rPr>
          <w:rFonts w:ascii="Verdana" w:hAnsi="Verdana" w:cs="Arial"/>
          <w:sz w:val="23"/>
          <w:szCs w:val="22"/>
        </w:rPr>
        <w:t xml:space="preserve">meccanismi indipendenti </w:t>
      </w:r>
      <w:r w:rsidR="005D2F58" w:rsidRPr="00AB37CB">
        <w:rPr>
          <w:rFonts w:ascii="Verdana" w:hAnsi="Verdana" w:cs="Arial"/>
          <w:sz w:val="23"/>
          <w:szCs w:val="22"/>
        </w:rPr>
        <w:t>ONU</w:t>
      </w:r>
      <w:r w:rsidR="00F8217D" w:rsidRPr="00AB37CB">
        <w:rPr>
          <w:rFonts w:ascii="Verdana" w:hAnsi="Verdana" w:cs="Arial"/>
          <w:sz w:val="23"/>
          <w:szCs w:val="22"/>
        </w:rPr>
        <w:t xml:space="preserve"> e regionali </w:t>
      </w:r>
      <w:r w:rsidRPr="00AB37CB">
        <w:rPr>
          <w:rFonts w:ascii="Verdana" w:hAnsi="Verdana" w:cs="Arial"/>
          <w:sz w:val="23"/>
          <w:szCs w:val="22"/>
        </w:rPr>
        <w:t>che si occupano di violenza contro le donne e diritti delle donne</w:t>
      </w:r>
      <w:r w:rsidR="0034080D" w:rsidRPr="00AB37CB">
        <w:rPr>
          <w:rStyle w:val="Rimandonotaapidipagina"/>
          <w:rFonts w:ascii="Verdana" w:hAnsi="Verdana" w:cs="Arial"/>
          <w:sz w:val="23"/>
          <w:szCs w:val="22"/>
        </w:rPr>
        <w:footnoteReference w:id="2"/>
      </w:r>
      <w:r w:rsidRPr="00AB37CB">
        <w:rPr>
          <w:rFonts w:ascii="Verdana" w:hAnsi="Verdana" w:cs="Arial"/>
          <w:sz w:val="23"/>
          <w:szCs w:val="22"/>
        </w:rPr>
        <w:t xml:space="preserve"> hanno </w:t>
      </w:r>
      <w:r w:rsidR="00571D30" w:rsidRPr="00AB37CB">
        <w:rPr>
          <w:rFonts w:ascii="Verdana" w:hAnsi="Verdana" w:cs="Arial"/>
          <w:sz w:val="23"/>
          <w:szCs w:val="22"/>
        </w:rPr>
        <w:t>dato voce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71D30" w:rsidRPr="00AB37CB">
        <w:rPr>
          <w:rFonts w:ascii="Verdana" w:hAnsi="Verdana" w:cs="Arial"/>
          <w:sz w:val="23"/>
          <w:szCs w:val="22"/>
        </w:rPr>
        <w:t>al</w:t>
      </w:r>
      <w:r w:rsidRPr="00AB37CB">
        <w:rPr>
          <w:rFonts w:ascii="Verdana" w:hAnsi="Verdana" w:cs="Arial"/>
          <w:sz w:val="23"/>
          <w:szCs w:val="22"/>
        </w:rPr>
        <w:t>l</w:t>
      </w:r>
      <w:r w:rsidR="005D2F58" w:rsidRPr="00AB37CB">
        <w:rPr>
          <w:rFonts w:ascii="Verdana" w:hAnsi="Verdana" w:cs="Arial"/>
          <w:sz w:val="23"/>
          <w:szCs w:val="22"/>
        </w:rPr>
        <w:t>a</w:t>
      </w:r>
      <w:r w:rsidRPr="00AB37CB">
        <w:rPr>
          <w:rFonts w:ascii="Verdana" w:hAnsi="Verdana" w:cs="Arial"/>
          <w:sz w:val="23"/>
          <w:szCs w:val="22"/>
        </w:rPr>
        <w:t xml:space="preserve"> propri</w:t>
      </w:r>
      <w:r w:rsidR="005D2F58" w:rsidRPr="00AB37CB">
        <w:rPr>
          <w:rFonts w:ascii="Verdana" w:hAnsi="Verdana" w:cs="Arial"/>
          <w:sz w:val="23"/>
          <w:szCs w:val="22"/>
        </w:rPr>
        <w:t>a</w:t>
      </w:r>
      <w:r w:rsidRPr="00AB37CB">
        <w:rPr>
          <w:rFonts w:ascii="Verdana" w:hAnsi="Verdana" w:cs="Arial"/>
          <w:sz w:val="23"/>
          <w:szCs w:val="22"/>
        </w:rPr>
        <w:t xml:space="preserve"> preoccupazion</w:t>
      </w:r>
      <w:r w:rsidR="005D2F58" w:rsidRPr="00AB37CB">
        <w:rPr>
          <w:rFonts w:ascii="Verdana" w:hAnsi="Verdana" w:cs="Arial"/>
          <w:sz w:val="23"/>
          <w:szCs w:val="22"/>
        </w:rPr>
        <w:t>e</w:t>
      </w:r>
      <w:r w:rsidRPr="00AB37CB">
        <w:rPr>
          <w:rFonts w:ascii="Verdana" w:hAnsi="Verdana" w:cs="Arial"/>
          <w:sz w:val="23"/>
          <w:szCs w:val="22"/>
        </w:rPr>
        <w:t xml:space="preserve"> in </w:t>
      </w:r>
      <w:r w:rsidR="005D2F58" w:rsidRPr="00AB37CB">
        <w:rPr>
          <w:rFonts w:ascii="Verdana" w:hAnsi="Verdana" w:cs="Arial"/>
          <w:sz w:val="23"/>
          <w:szCs w:val="22"/>
        </w:rPr>
        <w:t>merito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D2F58" w:rsidRPr="00AB37CB">
        <w:rPr>
          <w:rFonts w:ascii="Verdana" w:hAnsi="Verdana" w:cs="Arial"/>
          <w:sz w:val="23"/>
          <w:szCs w:val="22"/>
        </w:rPr>
        <w:t xml:space="preserve">a schemi ricorrenti </w:t>
      </w:r>
      <w:r w:rsidRPr="00AB37CB">
        <w:rPr>
          <w:rFonts w:ascii="Verdana" w:hAnsi="Verdana" w:cs="Arial"/>
          <w:sz w:val="23"/>
          <w:szCs w:val="22"/>
        </w:rPr>
        <w:t>che ignorano la violenza del partner nella determinazione dei diritti di custodia dei figli</w:t>
      </w:r>
      <w:r w:rsidR="005D2F58" w:rsidRPr="00AB37CB">
        <w:rPr>
          <w:rFonts w:ascii="Verdana" w:hAnsi="Verdana" w:cs="Arial"/>
          <w:sz w:val="23"/>
          <w:szCs w:val="22"/>
        </w:rPr>
        <w:t>, presenti in varie giurisdizioni a livello mondiale</w:t>
      </w:r>
      <w:r w:rsidRPr="00AB37CB">
        <w:rPr>
          <w:rFonts w:ascii="Verdana" w:hAnsi="Verdana" w:cs="Arial"/>
          <w:sz w:val="23"/>
          <w:szCs w:val="22"/>
        </w:rPr>
        <w:t xml:space="preserve">. Tali </w:t>
      </w:r>
      <w:r w:rsidR="005D2F58" w:rsidRPr="00AB37CB">
        <w:rPr>
          <w:rFonts w:ascii="Verdana" w:hAnsi="Verdana" w:cs="Arial"/>
          <w:sz w:val="23"/>
          <w:szCs w:val="22"/>
        </w:rPr>
        <w:t>schemi</w:t>
      </w:r>
      <w:r w:rsidRPr="00AB37CB">
        <w:rPr>
          <w:rFonts w:ascii="Verdana" w:hAnsi="Verdana" w:cs="Arial"/>
          <w:sz w:val="23"/>
          <w:szCs w:val="22"/>
        </w:rPr>
        <w:t xml:space="preserve"> rivelano una discriminazione di genere di fondo e stereotipi dannosi per le donne. Ignorare la violenza del partner su una donna nella determinazione dei diritti di custodia dei figli può </w:t>
      </w:r>
      <w:r w:rsidR="005D2F58" w:rsidRPr="00AB37CB">
        <w:rPr>
          <w:rFonts w:ascii="Verdana" w:hAnsi="Verdana" w:cs="Arial"/>
          <w:sz w:val="23"/>
          <w:szCs w:val="22"/>
        </w:rPr>
        <w:t>comportare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D2F58" w:rsidRPr="00AB37CB">
        <w:rPr>
          <w:rFonts w:ascii="Verdana" w:hAnsi="Verdana" w:cs="Arial"/>
          <w:sz w:val="23"/>
          <w:szCs w:val="22"/>
        </w:rPr>
        <w:t xml:space="preserve">gravi </w:t>
      </w:r>
      <w:r w:rsidRPr="00AB37CB">
        <w:rPr>
          <w:rFonts w:ascii="Verdana" w:hAnsi="Verdana" w:cs="Arial"/>
          <w:sz w:val="23"/>
          <w:szCs w:val="22"/>
        </w:rPr>
        <w:t xml:space="preserve">rischi per </w:t>
      </w:r>
      <w:r w:rsidR="00571D30" w:rsidRPr="00AB37CB">
        <w:rPr>
          <w:rFonts w:ascii="Verdana" w:hAnsi="Verdana" w:cs="Arial"/>
          <w:sz w:val="23"/>
          <w:szCs w:val="22"/>
        </w:rPr>
        <w:t xml:space="preserve">gli stessi </w:t>
      </w:r>
      <w:r w:rsidRPr="00AB37CB">
        <w:rPr>
          <w:rFonts w:ascii="Verdana" w:hAnsi="Verdana" w:cs="Arial"/>
          <w:sz w:val="23"/>
          <w:szCs w:val="22"/>
        </w:rPr>
        <w:t xml:space="preserve">e, di conseguenza, </w:t>
      </w:r>
      <w:r w:rsidR="00571D30" w:rsidRPr="00AB37CB">
        <w:rPr>
          <w:rFonts w:ascii="Verdana" w:hAnsi="Verdana" w:cs="Arial"/>
          <w:sz w:val="23"/>
          <w:szCs w:val="22"/>
        </w:rPr>
        <w:t>deve essere considerata al fine di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71D30" w:rsidRPr="00AB37CB">
        <w:rPr>
          <w:rFonts w:ascii="Verdana" w:hAnsi="Verdana" w:cs="Arial"/>
          <w:sz w:val="23"/>
          <w:szCs w:val="22"/>
        </w:rPr>
        <w:t>garantire</w:t>
      </w:r>
      <w:r w:rsidRPr="00AB37CB">
        <w:rPr>
          <w:rFonts w:ascii="Verdana" w:hAnsi="Verdana" w:cs="Arial"/>
          <w:sz w:val="23"/>
          <w:szCs w:val="22"/>
        </w:rPr>
        <w:t xml:space="preserve"> loro </w:t>
      </w:r>
      <w:r w:rsidR="00A24C46" w:rsidRPr="00AB37CB">
        <w:rPr>
          <w:rFonts w:ascii="Verdana" w:hAnsi="Verdana" w:cs="Arial"/>
          <w:sz w:val="23"/>
          <w:szCs w:val="22"/>
        </w:rPr>
        <w:t xml:space="preserve">effettiva </w:t>
      </w:r>
      <w:r w:rsidRPr="00AB37CB">
        <w:rPr>
          <w:rFonts w:ascii="Verdana" w:hAnsi="Verdana" w:cs="Arial"/>
          <w:sz w:val="23"/>
          <w:szCs w:val="22"/>
        </w:rPr>
        <w:t>protezione.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8E76F2" w:rsidP="005D2F58">
      <w:pPr>
        <w:jc w:val="both"/>
        <w:rPr>
          <w:rFonts w:ascii="Verdana" w:hAnsi="Verdana" w:cs="Arial"/>
          <w:sz w:val="23"/>
          <w:szCs w:val="22"/>
        </w:rPr>
      </w:pPr>
      <w:r>
        <w:rPr>
          <w:rFonts w:ascii="Verdana" w:hAnsi="Verdana" w:cs="Arial"/>
          <w:sz w:val="23"/>
          <w:szCs w:val="22"/>
        </w:rPr>
        <w:t>L</w:t>
      </w:r>
      <w:r w:rsidR="00F232EE">
        <w:rPr>
          <w:rFonts w:ascii="Verdana" w:hAnsi="Verdana" w:cs="Arial"/>
          <w:sz w:val="23"/>
          <w:szCs w:val="22"/>
        </w:rPr>
        <w:t>e</w:t>
      </w:r>
      <w:r w:rsidR="003A4838" w:rsidRPr="00AB37CB">
        <w:rPr>
          <w:rFonts w:ascii="Verdana" w:hAnsi="Verdana" w:cs="Arial"/>
          <w:sz w:val="23"/>
          <w:szCs w:val="22"/>
        </w:rPr>
        <w:t xml:space="preserve"> </w:t>
      </w:r>
      <w:r w:rsidR="00502A05" w:rsidRPr="00AB37CB">
        <w:rPr>
          <w:rFonts w:ascii="Verdana" w:hAnsi="Verdana" w:cs="Arial"/>
          <w:sz w:val="23"/>
          <w:szCs w:val="22"/>
        </w:rPr>
        <w:t>componenti</w:t>
      </w:r>
      <w:r w:rsidR="003A4838" w:rsidRPr="00AB37CB">
        <w:rPr>
          <w:rFonts w:ascii="Verdana" w:hAnsi="Verdana" w:cs="Arial"/>
          <w:sz w:val="23"/>
          <w:szCs w:val="22"/>
        </w:rPr>
        <w:t xml:space="preserve"> della Piattaforma hanno affrontato </w:t>
      </w:r>
      <w:r w:rsidR="00502A05" w:rsidRPr="00AB37CB">
        <w:rPr>
          <w:rFonts w:ascii="Verdana" w:hAnsi="Verdana" w:cs="Arial"/>
          <w:sz w:val="23"/>
          <w:szCs w:val="22"/>
        </w:rPr>
        <w:t>questo tema</w:t>
      </w:r>
      <w:r w:rsidR="003A4838" w:rsidRPr="00AB37CB">
        <w:rPr>
          <w:rFonts w:ascii="Verdana" w:hAnsi="Verdana" w:cs="Arial"/>
          <w:sz w:val="23"/>
          <w:szCs w:val="22"/>
        </w:rPr>
        <w:t xml:space="preserve"> durante la conferenza “I diritti delle donne ad un incrocio: rafforza</w:t>
      </w:r>
      <w:r w:rsidR="001E6592">
        <w:rPr>
          <w:rFonts w:ascii="Verdana" w:hAnsi="Verdana" w:cs="Arial"/>
          <w:sz w:val="23"/>
          <w:szCs w:val="22"/>
        </w:rPr>
        <w:t>re</w:t>
      </w:r>
      <w:r w:rsidR="003A4838" w:rsidRPr="00AB37CB">
        <w:rPr>
          <w:rFonts w:ascii="Verdana" w:hAnsi="Verdana" w:cs="Arial"/>
          <w:sz w:val="23"/>
          <w:szCs w:val="22"/>
        </w:rPr>
        <w:t xml:space="preserve"> la cooperazione internazionale per superare il divario tra </w:t>
      </w:r>
      <w:r w:rsidR="001E6592">
        <w:rPr>
          <w:rFonts w:ascii="Verdana" w:hAnsi="Verdana" w:cs="Arial"/>
          <w:sz w:val="23"/>
          <w:szCs w:val="22"/>
        </w:rPr>
        <w:t>contesti</w:t>
      </w:r>
      <w:r w:rsidR="003A4838" w:rsidRPr="00AB37CB">
        <w:rPr>
          <w:rFonts w:ascii="Verdana" w:hAnsi="Verdana" w:cs="Arial"/>
          <w:sz w:val="23"/>
          <w:szCs w:val="22"/>
        </w:rPr>
        <w:t xml:space="preserve"> legislativi e la loro attuazione” </w:t>
      </w:r>
      <w:r w:rsidR="00502A05" w:rsidRPr="00AB37CB">
        <w:rPr>
          <w:rFonts w:ascii="Verdana" w:hAnsi="Verdana" w:cs="Arial"/>
          <w:sz w:val="23"/>
          <w:szCs w:val="22"/>
        </w:rPr>
        <w:t xml:space="preserve">organizzata </w:t>
      </w:r>
      <w:r w:rsidR="003A4838" w:rsidRPr="00AB37CB">
        <w:rPr>
          <w:rFonts w:ascii="Verdana" w:hAnsi="Verdana" w:cs="Arial"/>
          <w:sz w:val="23"/>
          <w:szCs w:val="22"/>
        </w:rPr>
        <w:t>dal Consiglio d’Europa</w:t>
      </w:r>
      <w:r w:rsidR="00502A05" w:rsidRPr="00AB37CB">
        <w:rPr>
          <w:rFonts w:ascii="Verdana" w:hAnsi="Verdana" w:cs="Arial"/>
          <w:sz w:val="23"/>
          <w:szCs w:val="22"/>
        </w:rPr>
        <w:t xml:space="preserve"> a Strasburgo (Francia)</w:t>
      </w:r>
      <w:r w:rsidR="003A4838" w:rsidRPr="00AB37CB">
        <w:rPr>
          <w:rFonts w:ascii="Verdana" w:hAnsi="Verdana" w:cs="Arial"/>
          <w:sz w:val="23"/>
          <w:szCs w:val="22"/>
        </w:rPr>
        <w:t xml:space="preserve"> il 24 maggio 2019. Nel corso delle valutazioni, la Piattaforma </w:t>
      </w:r>
      <w:r w:rsidR="005D2F58" w:rsidRPr="00AB37CB">
        <w:rPr>
          <w:rFonts w:ascii="Verdana" w:hAnsi="Verdana" w:cs="Arial"/>
          <w:sz w:val="23"/>
          <w:szCs w:val="22"/>
        </w:rPr>
        <w:t xml:space="preserve">ha </w:t>
      </w:r>
      <w:r w:rsidR="003A4838" w:rsidRPr="00AB37CB">
        <w:rPr>
          <w:rFonts w:ascii="Verdana" w:hAnsi="Verdana" w:cs="Arial"/>
          <w:sz w:val="23"/>
          <w:szCs w:val="22"/>
        </w:rPr>
        <w:t>invita</w:t>
      </w:r>
      <w:r w:rsidR="005D2F58" w:rsidRPr="00AB37CB">
        <w:rPr>
          <w:rFonts w:ascii="Verdana" w:hAnsi="Verdana" w:cs="Arial"/>
          <w:sz w:val="23"/>
          <w:szCs w:val="22"/>
        </w:rPr>
        <w:t>to</w:t>
      </w:r>
      <w:r w:rsidR="003A4838" w:rsidRPr="00AB37CB">
        <w:rPr>
          <w:rFonts w:ascii="Verdana" w:hAnsi="Verdana" w:cs="Arial"/>
          <w:sz w:val="23"/>
          <w:szCs w:val="22"/>
        </w:rPr>
        <w:t xml:space="preserve"> gli Stati a porre particolare attenzione a</w:t>
      </w:r>
      <w:r w:rsidR="00502A05" w:rsidRPr="00AB37CB">
        <w:rPr>
          <w:rFonts w:ascii="Verdana" w:hAnsi="Verdana" w:cs="Arial"/>
          <w:sz w:val="23"/>
          <w:szCs w:val="22"/>
        </w:rPr>
        <w:t xml:space="preserve">gli </w:t>
      </w:r>
      <w:r w:rsidR="005D2F58" w:rsidRPr="00AB37CB">
        <w:rPr>
          <w:rFonts w:ascii="Verdana" w:hAnsi="Verdana" w:cs="Arial"/>
          <w:sz w:val="23"/>
          <w:szCs w:val="22"/>
        </w:rPr>
        <w:t xml:space="preserve">schemi </w:t>
      </w:r>
      <w:r w:rsidR="00502A05" w:rsidRPr="00AB37CB">
        <w:rPr>
          <w:rFonts w:ascii="Verdana" w:hAnsi="Verdana" w:cs="Arial"/>
          <w:sz w:val="23"/>
          <w:szCs w:val="22"/>
        </w:rPr>
        <w:t xml:space="preserve">sopracitati </w:t>
      </w:r>
      <w:r w:rsidR="003A4838" w:rsidRPr="00AB37CB">
        <w:rPr>
          <w:rFonts w:ascii="Verdana" w:hAnsi="Verdana" w:cs="Arial"/>
          <w:sz w:val="23"/>
          <w:szCs w:val="22"/>
        </w:rPr>
        <w:t>e a</w:t>
      </w:r>
      <w:r w:rsidR="00502A05" w:rsidRPr="00AB37CB">
        <w:rPr>
          <w:rFonts w:ascii="Verdana" w:hAnsi="Verdana" w:cs="Arial"/>
          <w:sz w:val="23"/>
          <w:szCs w:val="22"/>
        </w:rPr>
        <w:t>d</w:t>
      </w:r>
      <w:r w:rsidR="003A4838" w:rsidRPr="00AB37CB">
        <w:rPr>
          <w:rFonts w:ascii="Verdana" w:hAnsi="Verdana" w:cs="Arial"/>
          <w:sz w:val="23"/>
          <w:szCs w:val="22"/>
        </w:rPr>
        <w:t xml:space="preserve"> </w:t>
      </w:r>
      <w:r w:rsidR="00502A05" w:rsidRPr="00AB37CB">
        <w:rPr>
          <w:rFonts w:ascii="Verdana" w:hAnsi="Verdana" w:cs="Arial"/>
          <w:sz w:val="23"/>
          <w:szCs w:val="22"/>
        </w:rPr>
        <w:t>adottare</w:t>
      </w:r>
      <w:r w:rsidR="003A4838" w:rsidRPr="00AB37CB">
        <w:rPr>
          <w:rFonts w:ascii="Verdana" w:hAnsi="Verdana" w:cs="Arial"/>
          <w:sz w:val="23"/>
          <w:szCs w:val="22"/>
        </w:rPr>
        <w:t xml:space="preserve"> le misure necessarie per assicurare </w:t>
      </w:r>
      <w:r w:rsidR="005D2F58" w:rsidRPr="00AB37CB">
        <w:rPr>
          <w:rFonts w:ascii="Verdana" w:hAnsi="Verdana" w:cs="Arial"/>
          <w:sz w:val="23"/>
          <w:szCs w:val="22"/>
        </w:rPr>
        <w:t>l’</w:t>
      </w:r>
      <w:r w:rsidR="003A4838" w:rsidRPr="00AB37CB">
        <w:rPr>
          <w:rFonts w:ascii="Verdana" w:hAnsi="Verdana" w:cs="Arial"/>
          <w:sz w:val="23"/>
          <w:szCs w:val="22"/>
        </w:rPr>
        <w:t xml:space="preserve">attuazione degli standard internazionali che richiedono che la violenza </w:t>
      </w:r>
      <w:r w:rsidR="00502A05" w:rsidRPr="00AB37CB">
        <w:rPr>
          <w:rFonts w:ascii="Verdana" w:hAnsi="Verdana" w:cs="Arial"/>
          <w:sz w:val="23"/>
          <w:szCs w:val="22"/>
        </w:rPr>
        <w:t>maschile</w:t>
      </w:r>
      <w:r w:rsidR="003A4838" w:rsidRPr="00AB37CB">
        <w:rPr>
          <w:rFonts w:ascii="Verdana" w:hAnsi="Verdana" w:cs="Arial"/>
          <w:sz w:val="23"/>
          <w:szCs w:val="22"/>
        </w:rPr>
        <w:t xml:space="preserve"> </w:t>
      </w:r>
      <w:r w:rsidR="00502A05" w:rsidRPr="00AB37CB">
        <w:rPr>
          <w:rFonts w:ascii="Verdana" w:hAnsi="Verdana" w:cs="Arial"/>
          <w:sz w:val="23"/>
          <w:szCs w:val="22"/>
        </w:rPr>
        <w:t>sulle</w:t>
      </w:r>
      <w:r w:rsidR="003A4838" w:rsidRPr="00AB37CB">
        <w:rPr>
          <w:rFonts w:ascii="Verdana" w:hAnsi="Verdana" w:cs="Arial"/>
          <w:sz w:val="23"/>
          <w:szCs w:val="22"/>
        </w:rPr>
        <w:t xml:space="preserve"> donn</w:t>
      </w:r>
      <w:r w:rsidR="00502A05" w:rsidRPr="00AB37CB">
        <w:rPr>
          <w:rFonts w:ascii="Verdana" w:hAnsi="Verdana" w:cs="Arial"/>
          <w:sz w:val="23"/>
          <w:szCs w:val="22"/>
        </w:rPr>
        <w:t>e</w:t>
      </w:r>
      <w:r w:rsidR="003A4838" w:rsidRPr="00AB37CB">
        <w:rPr>
          <w:rFonts w:ascii="Verdana" w:hAnsi="Verdana" w:cs="Arial"/>
          <w:sz w:val="23"/>
          <w:szCs w:val="22"/>
        </w:rPr>
        <w:t xml:space="preserve"> </w:t>
      </w:r>
      <w:r w:rsidR="00502A05" w:rsidRPr="00AB37CB">
        <w:rPr>
          <w:rFonts w:ascii="Verdana" w:hAnsi="Verdana" w:cs="Arial"/>
          <w:sz w:val="23"/>
          <w:szCs w:val="22"/>
        </w:rPr>
        <w:t xml:space="preserve">all’interno delle relazioni di intimità </w:t>
      </w:r>
      <w:r w:rsidR="003A4838" w:rsidRPr="00AB37CB">
        <w:rPr>
          <w:rFonts w:ascii="Verdana" w:hAnsi="Verdana" w:cs="Arial"/>
          <w:sz w:val="23"/>
          <w:szCs w:val="22"/>
        </w:rPr>
        <w:t xml:space="preserve">sia </w:t>
      </w:r>
      <w:r w:rsidR="005D2F58" w:rsidRPr="00AB37CB">
        <w:rPr>
          <w:rFonts w:ascii="Verdana" w:hAnsi="Verdana" w:cs="Arial"/>
          <w:sz w:val="23"/>
          <w:szCs w:val="22"/>
        </w:rPr>
        <w:t>debitamente</w:t>
      </w:r>
      <w:r w:rsidR="003A4838" w:rsidRPr="00AB37CB">
        <w:rPr>
          <w:rFonts w:ascii="Verdana" w:hAnsi="Verdana" w:cs="Arial"/>
          <w:sz w:val="23"/>
          <w:szCs w:val="22"/>
        </w:rPr>
        <w:t xml:space="preserve"> </w:t>
      </w:r>
      <w:r w:rsidR="005D2F58" w:rsidRPr="00AB37CB">
        <w:rPr>
          <w:rFonts w:ascii="Verdana" w:hAnsi="Verdana" w:cs="Arial"/>
          <w:sz w:val="23"/>
          <w:szCs w:val="22"/>
        </w:rPr>
        <w:t>tenuta in considerazione</w:t>
      </w:r>
      <w:r w:rsidR="003A4838" w:rsidRPr="00AB37CB">
        <w:rPr>
          <w:rFonts w:ascii="Verdana" w:hAnsi="Verdana" w:cs="Arial"/>
          <w:sz w:val="23"/>
          <w:szCs w:val="22"/>
        </w:rPr>
        <w:t xml:space="preserve"> nella determinazione della custodia dei figli.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D86EEC" w:rsidRDefault="008E76F2" w:rsidP="005D2F58">
      <w:pPr>
        <w:jc w:val="both"/>
        <w:rPr>
          <w:rFonts w:ascii="Verdana" w:hAnsi="Verdana" w:cs="Arial"/>
          <w:sz w:val="23"/>
          <w:szCs w:val="22"/>
        </w:rPr>
      </w:pPr>
      <w:r>
        <w:rPr>
          <w:rFonts w:ascii="Verdana" w:hAnsi="Verdana" w:cs="Arial"/>
          <w:sz w:val="23"/>
          <w:szCs w:val="22"/>
        </w:rPr>
        <w:t>L</w:t>
      </w:r>
      <w:r w:rsidR="00F232EE">
        <w:rPr>
          <w:rFonts w:ascii="Verdana" w:hAnsi="Verdana" w:cs="Arial"/>
          <w:sz w:val="23"/>
          <w:szCs w:val="22"/>
        </w:rPr>
        <w:t>e</w:t>
      </w:r>
      <w:r w:rsidR="003A4838" w:rsidRPr="00AB37CB">
        <w:rPr>
          <w:rFonts w:ascii="Verdana" w:hAnsi="Verdana" w:cs="Arial"/>
          <w:sz w:val="23"/>
          <w:szCs w:val="22"/>
        </w:rPr>
        <w:t xml:space="preserve"> </w:t>
      </w:r>
      <w:r w:rsidR="00502A05" w:rsidRPr="00AB37CB">
        <w:rPr>
          <w:rFonts w:ascii="Verdana" w:hAnsi="Verdana" w:cs="Arial"/>
          <w:sz w:val="23"/>
          <w:szCs w:val="22"/>
        </w:rPr>
        <w:t>componenti</w:t>
      </w:r>
      <w:r w:rsidR="003A4838" w:rsidRPr="00AB37CB">
        <w:rPr>
          <w:rFonts w:ascii="Verdana" w:hAnsi="Verdana" w:cs="Arial"/>
          <w:sz w:val="23"/>
          <w:szCs w:val="22"/>
        </w:rPr>
        <w:t xml:space="preserve"> della Piattaforma </w:t>
      </w:r>
      <w:r w:rsidR="001E6592">
        <w:rPr>
          <w:rFonts w:ascii="Verdana" w:hAnsi="Verdana" w:cs="Arial"/>
          <w:sz w:val="23"/>
          <w:szCs w:val="22"/>
        </w:rPr>
        <w:t>ritengono</w:t>
      </w:r>
      <w:r w:rsidR="003A4838" w:rsidRPr="00AB37CB">
        <w:rPr>
          <w:rFonts w:ascii="Verdana" w:hAnsi="Verdana" w:cs="Arial"/>
          <w:sz w:val="23"/>
          <w:szCs w:val="22"/>
        </w:rPr>
        <w:t xml:space="preserve"> che le relazioni tra genitori </w:t>
      </w:r>
      <w:r w:rsidR="005D2F58" w:rsidRPr="00AB37CB">
        <w:rPr>
          <w:rFonts w:ascii="Verdana" w:hAnsi="Verdana" w:cs="Arial"/>
          <w:sz w:val="23"/>
          <w:szCs w:val="22"/>
        </w:rPr>
        <w:t xml:space="preserve">fondate sull’abuso </w:t>
      </w:r>
      <w:r w:rsidR="003A4838" w:rsidRPr="00AB37CB">
        <w:rPr>
          <w:rFonts w:ascii="Verdana" w:hAnsi="Verdana" w:cs="Arial"/>
          <w:sz w:val="23"/>
          <w:szCs w:val="22"/>
        </w:rPr>
        <w:t xml:space="preserve">colpiscano le donne in maniera </w:t>
      </w:r>
      <w:r w:rsidR="00257A78" w:rsidRPr="00AB37CB">
        <w:rPr>
          <w:rFonts w:ascii="Verdana" w:hAnsi="Verdana" w:cs="Arial"/>
          <w:sz w:val="23"/>
          <w:szCs w:val="22"/>
        </w:rPr>
        <w:t>prevalente</w:t>
      </w:r>
      <w:r w:rsidR="003A4838" w:rsidRPr="00AB37CB">
        <w:rPr>
          <w:rFonts w:ascii="Verdana" w:hAnsi="Verdana" w:cs="Arial"/>
          <w:sz w:val="23"/>
          <w:szCs w:val="22"/>
        </w:rPr>
        <w:t xml:space="preserve"> e </w:t>
      </w:r>
      <w:r w:rsidR="005D2F58" w:rsidRPr="00AB37CB">
        <w:rPr>
          <w:rFonts w:ascii="Verdana" w:hAnsi="Verdana" w:cs="Arial"/>
          <w:sz w:val="23"/>
          <w:szCs w:val="22"/>
        </w:rPr>
        <w:t>abbiano</w:t>
      </w:r>
      <w:r w:rsidR="003A4838" w:rsidRPr="00AB37CB">
        <w:rPr>
          <w:rFonts w:ascii="Verdana" w:hAnsi="Verdana" w:cs="Arial"/>
          <w:sz w:val="23"/>
          <w:szCs w:val="22"/>
        </w:rPr>
        <w:t xml:space="preserve"> un impatto diretto sulla vita dei figli, e </w:t>
      </w:r>
      <w:r w:rsidR="001E6592">
        <w:rPr>
          <w:rFonts w:ascii="Verdana" w:hAnsi="Verdana" w:cs="Arial"/>
          <w:sz w:val="23"/>
          <w:szCs w:val="22"/>
        </w:rPr>
        <w:t>ciononostante</w:t>
      </w:r>
      <w:r w:rsidR="003A4838" w:rsidRPr="00AB37CB">
        <w:rPr>
          <w:rFonts w:ascii="Verdana" w:hAnsi="Verdana" w:cs="Arial"/>
          <w:sz w:val="23"/>
          <w:szCs w:val="22"/>
        </w:rPr>
        <w:t xml:space="preserve"> la violenza contro le donne raramente viene considerata </w:t>
      </w:r>
      <w:r w:rsidR="005D2F58" w:rsidRPr="00AB37CB">
        <w:rPr>
          <w:rFonts w:ascii="Verdana" w:hAnsi="Verdana" w:cs="Arial"/>
          <w:sz w:val="23"/>
          <w:szCs w:val="22"/>
        </w:rPr>
        <w:t>dalle autorità nazionali come fattore rilevante nelle decisioni sulla custodia dei figli</w:t>
      </w:r>
      <w:r w:rsidR="003A4838" w:rsidRPr="00AB37CB">
        <w:rPr>
          <w:rFonts w:ascii="Verdana" w:hAnsi="Verdana" w:cs="Arial"/>
          <w:sz w:val="23"/>
          <w:szCs w:val="22"/>
        </w:rPr>
        <w:t xml:space="preserve">. </w:t>
      </w:r>
      <w:r w:rsidR="001E6592">
        <w:rPr>
          <w:rFonts w:ascii="Verdana" w:hAnsi="Verdana" w:cs="Arial"/>
          <w:sz w:val="23"/>
          <w:szCs w:val="22"/>
        </w:rPr>
        <w:t>Bench</w:t>
      </w:r>
      <w:r w:rsidR="00AE339C">
        <w:rPr>
          <w:rFonts w:ascii="Verdana" w:hAnsi="Verdana" w:cs="Arial"/>
          <w:sz w:val="23"/>
          <w:szCs w:val="22"/>
        </w:rPr>
        <w:t>é</w:t>
      </w:r>
      <w:r w:rsidR="00257A78" w:rsidRPr="00AB37CB">
        <w:rPr>
          <w:rFonts w:ascii="Verdana" w:hAnsi="Verdana" w:cs="Arial"/>
          <w:sz w:val="23"/>
          <w:szCs w:val="22"/>
        </w:rPr>
        <w:t xml:space="preserve"> non vi sia dubbio che </w:t>
      </w:r>
      <w:r w:rsidR="003A4838" w:rsidRPr="00AB37CB">
        <w:rPr>
          <w:rFonts w:ascii="Verdana" w:hAnsi="Verdana" w:cs="Arial"/>
          <w:sz w:val="23"/>
          <w:szCs w:val="22"/>
        </w:rPr>
        <w:t xml:space="preserve">la violenza </w:t>
      </w:r>
      <w:r w:rsidR="00257A78" w:rsidRPr="00AB37CB">
        <w:rPr>
          <w:rFonts w:ascii="Verdana" w:hAnsi="Verdana" w:cs="Arial"/>
          <w:sz w:val="23"/>
          <w:szCs w:val="22"/>
        </w:rPr>
        <w:t>domestica</w:t>
      </w:r>
      <w:r w:rsidR="00257A78" w:rsidRPr="00AB37CB">
        <w:rPr>
          <w:rStyle w:val="Rimandonotaapidipagina"/>
          <w:rFonts w:ascii="Verdana" w:hAnsi="Verdana" w:cs="Arial"/>
          <w:sz w:val="23"/>
          <w:szCs w:val="22"/>
        </w:rPr>
        <w:footnoteReference w:id="3"/>
      </w:r>
      <w:r w:rsidR="003A4838" w:rsidRPr="00AB37CB">
        <w:rPr>
          <w:rFonts w:ascii="Verdana" w:hAnsi="Verdana" w:cs="Arial"/>
          <w:sz w:val="23"/>
          <w:szCs w:val="22"/>
        </w:rPr>
        <w:t xml:space="preserve"> colpisc</w:t>
      </w:r>
      <w:r w:rsidR="00257A78" w:rsidRPr="00AB37CB">
        <w:rPr>
          <w:rFonts w:ascii="Verdana" w:hAnsi="Verdana" w:cs="Arial"/>
          <w:sz w:val="23"/>
          <w:szCs w:val="22"/>
        </w:rPr>
        <w:t>e</w:t>
      </w:r>
      <w:r w:rsidR="003A4838" w:rsidRPr="00AB37CB">
        <w:rPr>
          <w:rFonts w:ascii="Verdana" w:hAnsi="Verdana" w:cs="Arial"/>
          <w:sz w:val="23"/>
          <w:szCs w:val="22"/>
        </w:rPr>
        <w:t xml:space="preserve"> </w:t>
      </w:r>
      <w:r w:rsidR="00502A05" w:rsidRPr="00AB37CB">
        <w:rPr>
          <w:rFonts w:ascii="Verdana" w:hAnsi="Verdana" w:cs="Arial"/>
          <w:sz w:val="23"/>
          <w:szCs w:val="22"/>
        </w:rPr>
        <w:t>in maniera sproporzionata</w:t>
      </w:r>
      <w:r w:rsidR="003A4838" w:rsidRPr="00AB37CB">
        <w:rPr>
          <w:rFonts w:ascii="Verdana" w:hAnsi="Verdana" w:cs="Arial"/>
          <w:sz w:val="23"/>
          <w:szCs w:val="22"/>
        </w:rPr>
        <w:t xml:space="preserve"> le donne, la correlazione tra violenza domestica contro le donne e abuso sui bambini </w:t>
      </w:r>
      <w:r w:rsidR="005D2F58" w:rsidRPr="00AB37CB">
        <w:rPr>
          <w:rFonts w:ascii="Verdana" w:hAnsi="Verdana" w:cs="Arial"/>
          <w:sz w:val="23"/>
          <w:szCs w:val="22"/>
        </w:rPr>
        <w:t>è</w:t>
      </w:r>
      <w:r w:rsidR="003A4838" w:rsidRPr="00AB37CB">
        <w:rPr>
          <w:rFonts w:ascii="Verdana" w:hAnsi="Verdana" w:cs="Arial"/>
          <w:sz w:val="23"/>
          <w:szCs w:val="22"/>
        </w:rPr>
        <w:t xml:space="preserve"> incredibilmente sottostimat</w:t>
      </w:r>
      <w:r w:rsidR="005D2F58" w:rsidRPr="00AB37CB">
        <w:rPr>
          <w:rFonts w:ascii="Verdana" w:hAnsi="Verdana" w:cs="Arial"/>
          <w:sz w:val="23"/>
          <w:szCs w:val="22"/>
        </w:rPr>
        <w:t>a</w:t>
      </w:r>
      <w:r w:rsidR="003A4838" w:rsidRPr="00AB37CB">
        <w:rPr>
          <w:rFonts w:ascii="Verdana" w:hAnsi="Verdana" w:cs="Arial"/>
          <w:sz w:val="23"/>
          <w:szCs w:val="22"/>
        </w:rPr>
        <w:t xml:space="preserve"> da parte </w:t>
      </w:r>
      <w:r w:rsidR="00257A78" w:rsidRPr="00AB37CB">
        <w:rPr>
          <w:rFonts w:ascii="Verdana" w:hAnsi="Verdana" w:cs="Arial"/>
          <w:sz w:val="23"/>
          <w:szCs w:val="22"/>
        </w:rPr>
        <w:t>di avvocati</w:t>
      </w:r>
      <w:r w:rsidR="003A4838" w:rsidRPr="00AB37CB">
        <w:rPr>
          <w:rFonts w:ascii="Verdana" w:hAnsi="Verdana" w:cs="Arial"/>
          <w:sz w:val="23"/>
          <w:szCs w:val="22"/>
        </w:rPr>
        <w:t xml:space="preserve"> e </w:t>
      </w:r>
      <w:r w:rsidR="00257A78" w:rsidRPr="00AB37CB">
        <w:rPr>
          <w:rFonts w:ascii="Verdana" w:hAnsi="Verdana" w:cs="Arial"/>
          <w:sz w:val="23"/>
          <w:szCs w:val="22"/>
        </w:rPr>
        <w:t>tribunali</w:t>
      </w:r>
      <w:r w:rsidR="003A4838" w:rsidRPr="00AB37CB">
        <w:rPr>
          <w:rFonts w:ascii="Verdana" w:hAnsi="Verdana" w:cs="Arial"/>
          <w:sz w:val="23"/>
          <w:szCs w:val="22"/>
        </w:rPr>
        <w:t xml:space="preserve">. </w:t>
      </w:r>
    </w:p>
    <w:p w:rsidR="00F232EE" w:rsidRDefault="00F232EE" w:rsidP="005D2F58">
      <w:pPr>
        <w:jc w:val="both"/>
        <w:rPr>
          <w:rFonts w:ascii="Verdana" w:hAnsi="Verdana" w:cs="Arial"/>
          <w:sz w:val="23"/>
          <w:szCs w:val="22"/>
        </w:rPr>
      </w:pPr>
    </w:p>
    <w:p w:rsidR="008E76F2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>La discriminazione di genere contro le donne in tali contesti</w:t>
      </w:r>
      <w:r w:rsidR="00257A78" w:rsidRPr="00AB37CB">
        <w:rPr>
          <w:rFonts w:ascii="Verdana" w:hAnsi="Verdana" w:cs="Arial"/>
          <w:sz w:val="23"/>
          <w:szCs w:val="22"/>
        </w:rPr>
        <w:t xml:space="preserve"> è particolarmente estesa considerato che le donne vittime di violenza da parte del partner sono esposte a un rischio maggiore di esiti negativi nei procedimenti riguardanti diritti di custodia o visita</w:t>
      </w:r>
      <w:r w:rsidRPr="00AB37CB">
        <w:rPr>
          <w:rFonts w:ascii="Verdana" w:hAnsi="Verdana" w:cs="Arial"/>
          <w:sz w:val="23"/>
          <w:szCs w:val="22"/>
        </w:rPr>
        <w:t xml:space="preserve">. </w:t>
      </w:r>
    </w:p>
    <w:p w:rsidR="008E76F2" w:rsidRDefault="008E76F2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 xml:space="preserve">Inoltre, </w:t>
      </w:r>
      <w:r w:rsidR="00571D30" w:rsidRPr="00AB37CB">
        <w:rPr>
          <w:rFonts w:ascii="Verdana" w:hAnsi="Verdana" w:cs="Arial"/>
          <w:sz w:val="23"/>
          <w:szCs w:val="22"/>
        </w:rPr>
        <w:t xml:space="preserve">la </w:t>
      </w:r>
      <w:r w:rsidRPr="00AB37CB">
        <w:rPr>
          <w:rFonts w:ascii="Verdana" w:hAnsi="Verdana" w:cs="Arial"/>
          <w:sz w:val="23"/>
          <w:szCs w:val="22"/>
        </w:rPr>
        <w:t xml:space="preserve">discriminazione di genere porta spesso a non fidarsi delle donne, in particolare per quanto riguarda </w:t>
      </w:r>
      <w:r w:rsidR="00257A78" w:rsidRPr="00AB37CB">
        <w:rPr>
          <w:rFonts w:ascii="Verdana" w:hAnsi="Verdana" w:cs="Arial"/>
          <w:sz w:val="23"/>
          <w:szCs w:val="22"/>
        </w:rPr>
        <w:t xml:space="preserve">asserite </w:t>
      </w:r>
      <w:r w:rsidRPr="00AB37CB">
        <w:rPr>
          <w:rFonts w:ascii="Verdana" w:hAnsi="Verdana" w:cs="Arial"/>
          <w:sz w:val="23"/>
          <w:szCs w:val="22"/>
        </w:rPr>
        <w:t xml:space="preserve">false accuse di abuso sui figli e </w:t>
      </w:r>
      <w:r w:rsidR="00257A78" w:rsidRPr="00AB37CB">
        <w:rPr>
          <w:rFonts w:ascii="Verdana" w:hAnsi="Verdana" w:cs="Arial"/>
          <w:sz w:val="23"/>
          <w:szCs w:val="22"/>
        </w:rPr>
        <w:t xml:space="preserve">di </w:t>
      </w:r>
      <w:r w:rsidRPr="00AB37CB">
        <w:rPr>
          <w:rFonts w:ascii="Verdana" w:hAnsi="Verdana" w:cs="Arial"/>
          <w:sz w:val="23"/>
          <w:szCs w:val="22"/>
        </w:rPr>
        <w:t xml:space="preserve">violenza </w:t>
      </w:r>
      <w:r w:rsidRPr="00AB37CB">
        <w:rPr>
          <w:rFonts w:ascii="Verdana" w:hAnsi="Verdana" w:cs="Arial"/>
          <w:sz w:val="23"/>
          <w:szCs w:val="22"/>
        </w:rPr>
        <w:lastRenderedPageBreak/>
        <w:t xml:space="preserve">domestica. A tal proposito, </w:t>
      </w:r>
      <w:r w:rsidR="006F6388" w:rsidRPr="00AB37CB">
        <w:rPr>
          <w:rFonts w:ascii="Verdana" w:hAnsi="Verdana" w:cs="Arial"/>
          <w:sz w:val="23"/>
          <w:szCs w:val="22"/>
        </w:rPr>
        <w:t xml:space="preserve">nella decisione dei casi a livello nazionale, </w:t>
      </w:r>
      <w:r w:rsidRPr="00AB37CB">
        <w:rPr>
          <w:rFonts w:ascii="Verdana" w:hAnsi="Verdana" w:cs="Arial"/>
          <w:sz w:val="23"/>
          <w:szCs w:val="22"/>
        </w:rPr>
        <w:t>esperti</w:t>
      </w:r>
      <w:r w:rsidR="001E6592">
        <w:rPr>
          <w:rFonts w:ascii="Verdana" w:hAnsi="Verdana" w:cs="Arial"/>
          <w:sz w:val="23"/>
          <w:szCs w:val="22"/>
        </w:rPr>
        <w:t>/e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6F6388" w:rsidRPr="00AB37CB">
        <w:rPr>
          <w:rFonts w:ascii="Verdana" w:hAnsi="Verdana" w:cs="Arial"/>
          <w:sz w:val="23"/>
          <w:szCs w:val="22"/>
        </w:rPr>
        <w:t>sottolineano la necessità</w:t>
      </w:r>
      <w:r w:rsidR="00257A78" w:rsidRPr="00AB37CB">
        <w:rPr>
          <w:rFonts w:ascii="Verdana" w:hAnsi="Verdana" w:cs="Arial"/>
          <w:sz w:val="23"/>
          <w:szCs w:val="22"/>
        </w:rPr>
        <w:t xml:space="preserve"> </w:t>
      </w:r>
      <w:r w:rsidR="006F6388" w:rsidRPr="00AB37CB">
        <w:rPr>
          <w:rFonts w:ascii="Verdana" w:hAnsi="Verdana" w:cs="Arial"/>
          <w:sz w:val="23"/>
          <w:szCs w:val="22"/>
        </w:rPr>
        <w:t>di ricorrere ad</w:t>
      </w:r>
      <w:r w:rsidR="00257A78" w:rsidRPr="00AB37CB">
        <w:rPr>
          <w:rFonts w:ascii="Verdana" w:hAnsi="Verdana" w:cs="Arial"/>
          <w:sz w:val="23"/>
          <w:szCs w:val="22"/>
        </w:rPr>
        <w:t xml:space="preserve"> </w:t>
      </w:r>
      <w:r w:rsidRPr="00AB37CB">
        <w:rPr>
          <w:rFonts w:ascii="Verdana" w:hAnsi="Verdana" w:cs="Arial"/>
          <w:sz w:val="23"/>
          <w:szCs w:val="22"/>
        </w:rPr>
        <w:t xml:space="preserve">un </w:t>
      </w:r>
      <w:r w:rsidR="00571D30" w:rsidRPr="00AB37CB">
        <w:rPr>
          <w:rFonts w:ascii="Verdana" w:hAnsi="Verdana" w:cs="Arial"/>
          <w:sz w:val="23"/>
          <w:szCs w:val="22"/>
        </w:rPr>
        <w:t>orientamento</w:t>
      </w:r>
      <w:r w:rsidRPr="00AB37CB">
        <w:rPr>
          <w:rFonts w:ascii="Verdana" w:hAnsi="Verdana" w:cs="Arial"/>
          <w:sz w:val="23"/>
          <w:szCs w:val="22"/>
        </w:rPr>
        <w:t xml:space="preserve"> olistico e coordinato, basato sugli standard internazionali e regionali già esistenti, e ciò non soltanto </w:t>
      </w:r>
      <w:r w:rsidR="005D2F58" w:rsidRPr="00AB37CB">
        <w:rPr>
          <w:rFonts w:ascii="Verdana" w:hAnsi="Verdana" w:cs="Arial"/>
          <w:sz w:val="23"/>
          <w:szCs w:val="22"/>
        </w:rPr>
        <w:t>in ossequio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D2F58" w:rsidRPr="00AB37CB">
        <w:rPr>
          <w:rFonts w:ascii="Verdana" w:hAnsi="Verdana" w:cs="Arial"/>
          <w:sz w:val="23"/>
          <w:szCs w:val="22"/>
        </w:rPr>
        <w:t>a</w:t>
      </w:r>
      <w:r w:rsidRPr="00AB37CB">
        <w:rPr>
          <w:rFonts w:ascii="Verdana" w:hAnsi="Verdana" w:cs="Arial"/>
          <w:sz w:val="23"/>
          <w:szCs w:val="22"/>
        </w:rPr>
        <w:t xml:space="preserve">l principio del </w:t>
      </w:r>
      <w:r w:rsidR="005D2F58" w:rsidRPr="00AB37CB">
        <w:rPr>
          <w:rFonts w:ascii="Verdana" w:hAnsi="Verdana" w:cs="Arial"/>
          <w:sz w:val="23"/>
          <w:szCs w:val="22"/>
        </w:rPr>
        <w:t>prevalente</w:t>
      </w:r>
      <w:r w:rsidRPr="00AB37CB">
        <w:rPr>
          <w:rFonts w:ascii="Verdana" w:hAnsi="Verdana" w:cs="Arial"/>
          <w:sz w:val="23"/>
          <w:szCs w:val="22"/>
        </w:rPr>
        <w:t xml:space="preserve"> interesse del </w:t>
      </w:r>
      <w:r w:rsidR="005D2F58" w:rsidRPr="00AB37CB">
        <w:rPr>
          <w:rFonts w:ascii="Verdana" w:hAnsi="Verdana" w:cs="Arial"/>
          <w:sz w:val="23"/>
          <w:szCs w:val="22"/>
        </w:rPr>
        <w:t>minore</w:t>
      </w:r>
      <w:r w:rsidR="001E6592">
        <w:rPr>
          <w:rFonts w:ascii="Verdana" w:hAnsi="Verdana" w:cs="Arial"/>
          <w:sz w:val="23"/>
          <w:szCs w:val="22"/>
        </w:rPr>
        <w:t>,</w:t>
      </w:r>
      <w:r w:rsidRPr="00AB37CB">
        <w:rPr>
          <w:rFonts w:ascii="Verdana" w:hAnsi="Verdana" w:cs="Arial"/>
          <w:sz w:val="23"/>
          <w:szCs w:val="22"/>
        </w:rPr>
        <w:t xml:space="preserve"> ma anche </w:t>
      </w:r>
      <w:r w:rsidR="005D2F58" w:rsidRPr="00AB37CB">
        <w:rPr>
          <w:rFonts w:ascii="Verdana" w:hAnsi="Verdana" w:cs="Arial"/>
          <w:sz w:val="23"/>
          <w:szCs w:val="22"/>
        </w:rPr>
        <w:t>de</w:t>
      </w:r>
      <w:r w:rsidRPr="00AB37CB">
        <w:rPr>
          <w:rFonts w:ascii="Verdana" w:hAnsi="Verdana" w:cs="Arial"/>
          <w:sz w:val="23"/>
          <w:szCs w:val="22"/>
        </w:rPr>
        <w:t xml:space="preserve">l principio di uguaglianza tra donna e uomo. </w:t>
      </w:r>
      <w:r w:rsidR="006F6388" w:rsidRPr="00AB37CB">
        <w:rPr>
          <w:rFonts w:ascii="Verdana" w:hAnsi="Verdana" w:cs="Arial"/>
          <w:sz w:val="23"/>
          <w:szCs w:val="22"/>
        </w:rPr>
        <w:t>Tale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D2F58" w:rsidRPr="00AB37CB">
        <w:rPr>
          <w:rFonts w:ascii="Verdana" w:hAnsi="Verdana" w:cs="Arial"/>
          <w:sz w:val="23"/>
          <w:szCs w:val="22"/>
        </w:rPr>
        <w:t>orientamento</w:t>
      </w:r>
      <w:r w:rsidRPr="00AB37CB">
        <w:rPr>
          <w:rFonts w:ascii="Verdana" w:hAnsi="Verdana" w:cs="Arial"/>
          <w:sz w:val="23"/>
          <w:szCs w:val="22"/>
        </w:rPr>
        <w:t xml:space="preserve"> è confermato dalla giurisprudenza di corti internazionali, </w:t>
      </w:r>
      <w:r w:rsidR="00257A78" w:rsidRPr="00AB37CB">
        <w:rPr>
          <w:rFonts w:ascii="Verdana" w:hAnsi="Verdana" w:cs="Arial"/>
          <w:sz w:val="23"/>
          <w:szCs w:val="22"/>
        </w:rPr>
        <w:t xml:space="preserve">dagli </w:t>
      </w:r>
      <w:r w:rsidRPr="00AB37CB">
        <w:rPr>
          <w:rFonts w:ascii="Verdana" w:hAnsi="Verdana" w:cs="Arial"/>
          <w:sz w:val="23"/>
          <w:szCs w:val="22"/>
        </w:rPr>
        <w:t xml:space="preserve">organi delle Nazioni Unite e </w:t>
      </w:r>
      <w:r w:rsidR="00257A78" w:rsidRPr="00AB37CB">
        <w:rPr>
          <w:rFonts w:ascii="Verdana" w:hAnsi="Verdana" w:cs="Arial"/>
          <w:sz w:val="23"/>
          <w:szCs w:val="22"/>
        </w:rPr>
        <w:t xml:space="preserve">da </w:t>
      </w:r>
      <w:r w:rsidRPr="00AB37CB">
        <w:rPr>
          <w:rFonts w:ascii="Verdana" w:hAnsi="Verdana" w:cs="Arial"/>
          <w:sz w:val="23"/>
          <w:szCs w:val="22"/>
        </w:rPr>
        <w:t>altri meccanismi rilevanti.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 xml:space="preserve">Nel caso </w:t>
      </w:r>
      <w:r w:rsidRPr="00AB37CB">
        <w:rPr>
          <w:rFonts w:ascii="Verdana" w:hAnsi="Verdana" w:cs="Arial"/>
          <w:i/>
          <w:sz w:val="23"/>
          <w:szCs w:val="22"/>
        </w:rPr>
        <w:t xml:space="preserve">Jessica </w:t>
      </w:r>
      <w:proofErr w:type="spellStart"/>
      <w:r w:rsidRPr="00AB37CB">
        <w:rPr>
          <w:rFonts w:ascii="Verdana" w:hAnsi="Verdana" w:cs="Arial"/>
          <w:i/>
          <w:sz w:val="23"/>
          <w:szCs w:val="22"/>
        </w:rPr>
        <w:t>Lenahan</w:t>
      </w:r>
      <w:proofErr w:type="spellEnd"/>
      <w:r w:rsidRPr="00AB37CB">
        <w:rPr>
          <w:rFonts w:ascii="Verdana" w:hAnsi="Verdana" w:cs="Arial"/>
          <w:i/>
          <w:sz w:val="23"/>
          <w:szCs w:val="22"/>
        </w:rPr>
        <w:t xml:space="preserve"> (Gonzales) c. Stati Uniti</w:t>
      </w:r>
      <w:r w:rsidRPr="00AB37CB">
        <w:rPr>
          <w:rFonts w:ascii="Verdana" w:hAnsi="Verdana" w:cs="Arial"/>
          <w:sz w:val="23"/>
          <w:szCs w:val="22"/>
        </w:rPr>
        <w:t>, la Commissione Inter-Americana per i Diritti Umani (</w:t>
      </w:r>
      <w:r w:rsidR="005D2F58" w:rsidRPr="00AB37CB">
        <w:rPr>
          <w:rFonts w:ascii="Verdana" w:hAnsi="Verdana" w:cs="Arial"/>
          <w:sz w:val="23"/>
          <w:szCs w:val="22"/>
        </w:rPr>
        <w:t>IACHR</w:t>
      </w:r>
      <w:r w:rsidRPr="00AB37CB">
        <w:rPr>
          <w:rFonts w:ascii="Verdana" w:hAnsi="Verdana" w:cs="Arial"/>
          <w:sz w:val="23"/>
          <w:szCs w:val="22"/>
        </w:rPr>
        <w:t xml:space="preserve">) ha affrontato </w:t>
      </w:r>
      <w:r w:rsidR="005D2F58" w:rsidRPr="00AB37CB">
        <w:rPr>
          <w:rFonts w:ascii="Verdana" w:hAnsi="Verdana" w:cs="Arial"/>
          <w:sz w:val="23"/>
          <w:szCs w:val="22"/>
        </w:rPr>
        <w:t>la tematica de</w:t>
      </w:r>
      <w:r w:rsidRPr="00AB37CB">
        <w:rPr>
          <w:rFonts w:ascii="Verdana" w:hAnsi="Verdana" w:cs="Arial"/>
          <w:sz w:val="23"/>
          <w:szCs w:val="22"/>
        </w:rPr>
        <w:t>gli obblighi degli Stati di rispondere a situazioni di violenza domestica con misure di protezione “diligenti” e ha analizzato la correlazione tra la violenza del partner sulla donna e l’abuso sul figlio, in particolare ne</w:t>
      </w:r>
      <w:r w:rsidR="005D2F58" w:rsidRPr="00AB37CB">
        <w:rPr>
          <w:rFonts w:ascii="Verdana" w:hAnsi="Verdana" w:cs="Arial"/>
          <w:sz w:val="23"/>
          <w:szCs w:val="22"/>
        </w:rPr>
        <w:t>i</w:t>
      </w:r>
      <w:r w:rsidRPr="00AB37CB">
        <w:rPr>
          <w:rFonts w:ascii="Verdana" w:hAnsi="Verdana" w:cs="Arial"/>
          <w:sz w:val="23"/>
          <w:szCs w:val="22"/>
        </w:rPr>
        <w:t xml:space="preserve"> cas</w:t>
      </w:r>
      <w:r w:rsidR="005D2F58" w:rsidRPr="00AB37CB">
        <w:rPr>
          <w:rFonts w:ascii="Verdana" w:hAnsi="Verdana" w:cs="Arial"/>
          <w:sz w:val="23"/>
          <w:szCs w:val="22"/>
        </w:rPr>
        <w:t>i</w:t>
      </w:r>
      <w:r w:rsidRPr="00AB37CB">
        <w:rPr>
          <w:rFonts w:ascii="Verdana" w:hAnsi="Verdana" w:cs="Arial"/>
          <w:sz w:val="23"/>
          <w:szCs w:val="22"/>
        </w:rPr>
        <w:t xml:space="preserve"> di separazione.</w:t>
      </w:r>
      <w:r w:rsidR="00AB37CB" w:rsidRPr="00AB37CB">
        <w:rPr>
          <w:rStyle w:val="Rimandonotaapidipagina"/>
          <w:rFonts w:ascii="Verdana" w:hAnsi="Verdana" w:cs="Arial"/>
          <w:sz w:val="23"/>
          <w:szCs w:val="22"/>
        </w:rPr>
        <w:footnoteReference w:id="4"/>
      </w:r>
      <w:r w:rsidRPr="00AB37CB">
        <w:rPr>
          <w:rFonts w:ascii="Verdana" w:hAnsi="Verdana" w:cs="Arial"/>
          <w:sz w:val="23"/>
          <w:szCs w:val="22"/>
        </w:rPr>
        <w:t xml:space="preserve"> La </w:t>
      </w:r>
      <w:r w:rsidR="005D2F58" w:rsidRPr="00AB37CB">
        <w:rPr>
          <w:rFonts w:ascii="Verdana" w:hAnsi="Verdana" w:cs="Arial"/>
          <w:sz w:val="23"/>
          <w:szCs w:val="22"/>
        </w:rPr>
        <w:t>IACHR</w:t>
      </w:r>
      <w:r w:rsidRPr="00AB37CB">
        <w:rPr>
          <w:rFonts w:ascii="Verdana" w:hAnsi="Verdana" w:cs="Arial"/>
          <w:sz w:val="23"/>
          <w:szCs w:val="22"/>
        </w:rPr>
        <w:t xml:space="preserve"> ha </w:t>
      </w:r>
      <w:r w:rsidR="00257A78" w:rsidRPr="00AB37CB">
        <w:rPr>
          <w:rFonts w:ascii="Verdana" w:hAnsi="Verdana" w:cs="Arial"/>
          <w:sz w:val="23"/>
          <w:szCs w:val="22"/>
        </w:rPr>
        <w:t>ritenuto</w:t>
      </w:r>
      <w:r w:rsidR="005D2F58" w:rsidRPr="00AB37CB">
        <w:rPr>
          <w:rFonts w:ascii="Verdana" w:hAnsi="Verdana" w:cs="Arial"/>
          <w:sz w:val="23"/>
          <w:szCs w:val="22"/>
        </w:rPr>
        <w:t>,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D2F58" w:rsidRPr="00AB37CB">
        <w:rPr>
          <w:rFonts w:ascii="Verdana" w:hAnsi="Verdana" w:cs="Arial"/>
          <w:sz w:val="23"/>
          <w:szCs w:val="22"/>
        </w:rPr>
        <w:t xml:space="preserve">nel caso di specie, </w:t>
      </w:r>
      <w:r w:rsidR="00257A78" w:rsidRPr="00AB37CB">
        <w:rPr>
          <w:rFonts w:ascii="Verdana" w:hAnsi="Verdana" w:cs="Arial"/>
          <w:sz w:val="23"/>
          <w:szCs w:val="22"/>
        </w:rPr>
        <w:t xml:space="preserve">trattarsi </w:t>
      </w:r>
      <w:r w:rsidR="005D2F58" w:rsidRPr="00AB37CB">
        <w:rPr>
          <w:rFonts w:ascii="Verdana" w:hAnsi="Verdana" w:cs="Arial"/>
          <w:sz w:val="23"/>
          <w:szCs w:val="22"/>
        </w:rPr>
        <w:t xml:space="preserve">di responsabilità internazionale dello Stato, dal momento che i suoi agenti </w:t>
      </w:r>
      <w:r w:rsidRPr="00AB37CB">
        <w:rPr>
          <w:rFonts w:ascii="Verdana" w:hAnsi="Verdana" w:cs="Arial"/>
          <w:sz w:val="23"/>
          <w:szCs w:val="22"/>
        </w:rPr>
        <w:t xml:space="preserve">non </w:t>
      </w:r>
      <w:r w:rsidR="00257A78" w:rsidRPr="00AB37CB">
        <w:rPr>
          <w:rFonts w:ascii="Verdana" w:hAnsi="Verdana" w:cs="Arial"/>
          <w:sz w:val="23"/>
          <w:szCs w:val="22"/>
        </w:rPr>
        <w:t>hanno garantito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6F4033" w:rsidRPr="00AB37CB">
        <w:rPr>
          <w:rFonts w:ascii="Verdana" w:hAnsi="Verdana" w:cs="Arial"/>
          <w:sz w:val="23"/>
          <w:szCs w:val="22"/>
        </w:rPr>
        <w:t xml:space="preserve">il rispetto delle </w:t>
      </w:r>
      <w:r w:rsidRPr="00AB37CB">
        <w:rPr>
          <w:rFonts w:ascii="Verdana" w:hAnsi="Verdana" w:cs="Arial"/>
          <w:sz w:val="23"/>
          <w:szCs w:val="22"/>
        </w:rPr>
        <w:t xml:space="preserve">misure di protezione </w:t>
      </w:r>
      <w:r w:rsidR="006F4033" w:rsidRPr="00AB37CB">
        <w:rPr>
          <w:rFonts w:ascii="Verdana" w:hAnsi="Verdana" w:cs="Arial"/>
          <w:sz w:val="23"/>
          <w:szCs w:val="22"/>
        </w:rPr>
        <w:t>concesse a tutela della</w:t>
      </w:r>
      <w:r w:rsidRPr="00AB37CB">
        <w:rPr>
          <w:rFonts w:ascii="Verdana" w:hAnsi="Verdana" w:cs="Arial"/>
          <w:sz w:val="23"/>
          <w:szCs w:val="22"/>
        </w:rPr>
        <w:t xml:space="preserve"> Sig. </w:t>
      </w:r>
      <w:proofErr w:type="spellStart"/>
      <w:r w:rsidRPr="00AB37CB">
        <w:rPr>
          <w:rFonts w:ascii="Verdana" w:hAnsi="Verdana" w:cs="Arial"/>
          <w:sz w:val="23"/>
          <w:szCs w:val="22"/>
        </w:rPr>
        <w:t>ra</w:t>
      </w:r>
      <w:proofErr w:type="spellEnd"/>
      <w:r w:rsidRPr="00AB37CB">
        <w:rPr>
          <w:rFonts w:ascii="Verdana" w:hAnsi="Verdana" w:cs="Arial"/>
          <w:sz w:val="23"/>
          <w:szCs w:val="22"/>
        </w:rPr>
        <w:t xml:space="preserve"> </w:t>
      </w:r>
      <w:proofErr w:type="spellStart"/>
      <w:r w:rsidRPr="00AB37CB">
        <w:rPr>
          <w:rFonts w:ascii="Verdana" w:hAnsi="Verdana" w:cs="Arial"/>
          <w:sz w:val="23"/>
          <w:szCs w:val="22"/>
        </w:rPr>
        <w:t>Lenahan</w:t>
      </w:r>
      <w:proofErr w:type="spellEnd"/>
      <w:r w:rsidRPr="00AB37CB">
        <w:rPr>
          <w:rFonts w:ascii="Verdana" w:hAnsi="Verdana" w:cs="Arial"/>
          <w:sz w:val="23"/>
          <w:szCs w:val="22"/>
        </w:rPr>
        <w:t xml:space="preserve">; non </w:t>
      </w:r>
      <w:r w:rsidR="00257A78" w:rsidRPr="00AB37CB">
        <w:rPr>
          <w:rFonts w:ascii="Verdana" w:hAnsi="Verdana" w:cs="Arial"/>
          <w:sz w:val="23"/>
          <w:szCs w:val="22"/>
        </w:rPr>
        <w:t>hanno rispettato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6F4033" w:rsidRPr="00AB37CB">
        <w:rPr>
          <w:rFonts w:ascii="Verdana" w:hAnsi="Verdana" w:cs="Arial"/>
          <w:sz w:val="23"/>
          <w:szCs w:val="22"/>
        </w:rPr>
        <w:t>l’obbligo</w:t>
      </w:r>
      <w:r w:rsidRPr="00AB37CB">
        <w:rPr>
          <w:rFonts w:ascii="Verdana" w:hAnsi="Verdana" w:cs="Arial"/>
          <w:sz w:val="23"/>
          <w:szCs w:val="22"/>
        </w:rPr>
        <w:t xml:space="preserve"> di dovuta diligenza; e non </w:t>
      </w:r>
      <w:r w:rsidR="00257A78" w:rsidRPr="00AB37CB">
        <w:rPr>
          <w:rFonts w:ascii="Verdana" w:hAnsi="Verdana" w:cs="Arial"/>
          <w:sz w:val="23"/>
          <w:szCs w:val="22"/>
        </w:rPr>
        <w:t>hanno protetto</w:t>
      </w:r>
      <w:r w:rsidRPr="00AB37CB">
        <w:rPr>
          <w:rFonts w:ascii="Verdana" w:hAnsi="Verdana" w:cs="Arial"/>
          <w:sz w:val="23"/>
          <w:szCs w:val="22"/>
        </w:rPr>
        <w:t xml:space="preserve"> i diritti dei </w:t>
      </w:r>
      <w:r w:rsidR="006F4033" w:rsidRPr="00AB37CB">
        <w:rPr>
          <w:rFonts w:ascii="Verdana" w:hAnsi="Verdana" w:cs="Arial"/>
          <w:sz w:val="23"/>
          <w:szCs w:val="22"/>
        </w:rPr>
        <w:t>bambini,</w:t>
      </w:r>
      <w:r w:rsidRPr="00AB37CB">
        <w:rPr>
          <w:rFonts w:ascii="Verdana" w:hAnsi="Verdana" w:cs="Arial"/>
          <w:sz w:val="23"/>
          <w:szCs w:val="22"/>
        </w:rPr>
        <w:t xml:space="preserve"> che </w:t>
      </w:r>
      <w:r w:rsidR="006F4033" w:rsidRPr="00AB37CB">
        <w:rPr>
          <w:rFonts w:ascii="Verdana" w:hAnsi="Verdana" w:cs="Arial"/>
          <w:sz w:val="23"/>
          <w:szCs w:val="22"/>
        </w:rPr>
        <w:t>sono stati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6F4033" w:rsidRPr="00AB37CB">
        <w:rPr>
          <w:rFonts w:ascii="Verdana" w:hAnsi="Verdana" w:cs="Arial"/>
          <w:sz w:val="23"/>
          <w:szCs w:val="22"/>
        </w:rPr>
        <w:t>rapiti</w:t>
      </w:r>
      <w:r w:rsidRPr="00AB37CB">
        <w:rPr>
          <w:rFonts w:ascii="Verdana" w:hAnsi="Verdana" w:cs="Arial"/>
          <w:sz w:val="23"/>
          <w:szCs w:val="22"/>
        </w:rPr>
        <w:t xml:space="preserve"> e uccisi dal padre.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 xml:space="preserve">Nel caso </w:t>
      </w:r>
      <w:proofErr w:type="spellStart"/>
      <w:r w:rsidRPr="00AB37CB">
        <w:rPr>
          <w:rFonts w:ascii="Verdana" w:hAnsi="Verdana" w:cs="Arial"/>
          <w:i/>
          <w:sz w:val="23"/>
          <w:szCs w:val="22"/>
        </w:rPr>
        <w:t>Gonzalez</w:t>
      </w:r>
      <w:proofErr w:type="spellEnd"/>
      <w:r w:rsidRPr="00AB37CB">
        <w:rPr>
          <w:rFonts w:ascii="Verdana" w:hAnsi="Verdana" w:cs="Arial"/>
          <w:sz w:val="23"/>
          <w:szCs w:val="22"/>
        </w:rPr>
        <w:t>,</w:t>
      </w:r>
      <w:r w:rsidR="0034080D" w:rsidRPr="00AB37CB">
        <w:rPr>
          <w:rStyle w:val="Rimandonotaapidipagina"/>
          <w:rFonts w:ascii="Verdana" w:hAnsi="Verdana" w:cs="Arial"/>
          <w:sz w:val="23"/>
          <w:szCs w:val="22"/>
        </w:rPr>
        <w:footnoteReference w:id="5"/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E14F22" w:rsidRPr="00AB37CB">
        <w:rPr>
          <w:rFonts w:ascii="Verdana" w:hAnsi="Verdana" w:cs="Arial"/>
          <w:sz w:val="23"/>
          <w:szCs w:val="22"/>
        </w:rPr>
        <w:t>in cui</w:t>
      </w:r>
      <w:r w:rsidRPr="00AB37CB">
        <w:rPr>
          <w:rFonts w:ascii="Verdana" w:hAnsi="Verdana" w:cs="Arial"/>
          <w:sz w:val="23"/>
          <w:szCs w:val="22"/>
        </w:rPr>
        <w:t xml:space="preserve"> un padre abusante, durante una visita non supervisionata, </w:t>
      </w:r>
      <w:r w:rsidR="00E14F22" w:rsidRPr="00AB37CB">
        <w:rPr>
          <w:rFonts w:ascii="Verdana" w:hAnsi="Verdana" w:cs="Arial"/>
          <w:sz w:val="23"/>
          <w:szCs w:val="22"/>
        </w:rPr>
        <w:t>ha ucciso</w:t>
      </w:r>
      <w:r w:rsidRPr="00AB37CB">
        <w:rPr>
          <w:rFonts w:ascii="Verdana" w:hAnsi="Verdana" w:cs="Arial"/>
          <w:sz w:val="23"/>
          <w:szCs w:val="22"/>
        </w:rPr>
        <w:t xml:space="preserve"> la figlia e </w:t>
      </w:r>
      <w:r w:rsidR="00E14F22" w:rsidRPr="00AB37CB">
        <w:rPr>
          <w:rFonts w:ascii="Verdana" w:hAnsi="Verdana" w:cs="Arial"/>
          <w:sz w:val="23"/>
          <w:szCs w:val="22"/>
        </w:rPr>
        <w:t xml:space="preserve">si è </w:t>
      </w:r>
      <w:r w:rsidRPr="00AB37CB">
        <w:rPr>
          <w:rFonts w:ascii="Verdana" w:hAnsi="Verdana" w:cs="Arial"/>
          <w:sz w:val="23"/>
          <w:szCs w:val="22"/>
        </w:rPr>
        <w:t xml:space="preserve">successivamente </w:t>
      </w:r>
      <w:r w:rsidR="00E14F22" w:rsidRPr="00AB37CB">
        <w:rPr>
          <w:rFonts w:ascii="Verdana" w:hAnsi="Verdana" w:cs="Arial"/>
          <w:sz w:val="23"/>
          <w:szCs w:val="22"/>
        </w:rPr>
        <w:t>tolto</w:t>
      </w:r>
      <w:r w:rsidRPr="00AB37CB">
        <w:rPr>
          <w:rFonts w:ascii="Verdana" w:hAnsi="Verdana" w:cs="Arial"/>
          <w:sz w:val="23"/>
          <w:szCs w:val="22"/>
        </w:rPr>
        <w:t xml:space="preserve"> la vita, il Comitato CEDAW </w:t>
      </w:r>
      <w:r w:rsidR="005D2F58" w:rsidRPr="00AB37CB">
        <w:rPr>
          <w:rFonts w:ascii="Verdana" w:hAnsi="Verdana" w:cs="Arial"/>
          <w:sz w:val="23"/>
          <w:szCs w:val="22"/>
        </w:rPr>
        <w:t>ha stabilito</w:t>
      </w:r>
      <w:r w:rsidRPr="00AB37CB">
        <w:rPr>
          <w:rFonts w:ascii="Verdana" w:hAnsi="Verdana" w:cs="Arial"/>
          <w:sz w:val="23"/>
          <w:szCs w:val="22"/>
        </w:rPr>
        <w:t xml:space="preserve"> che, nel</w:t>
      </w:r>
      <w:r w:rsidR="00E14F22" w:rsidRPr="00AB37CB">
        <w:rPr>
          <w:rFonts w:ascii="Verdana" w:hAnsi="Verdana" w:cs="Arial"/>
          <w:sz w:val="23"/>
          <w:szCs w:val="22"/>
        </w:rPr>
        <w:t xml:space="preserve">l’autorizzare </w:t>
      </w:r>
      <w:r w:rsidRPr="00AB37CB">
        <w:rPr>
          <w:rFonts w:ascii="Verdana" w:hAnsi="Verdana" w:cs="Arial"/>
          <w:sz w:val="23"/>
          <w:szCs w:val="22"/>
        </w:rPr>
        <w:t xml:space="preserve">visite non supervisionate senza </w:t>
      </w:r>
      <w:r w:rsidR="00E14F22" w:rsidRPr="00AB37CB">
        <w:rPr>
          <w:rFonts w:ascii="Verdana" w:hAnsi="Verdana" w:cs="Arial"/>
          <w:sz w:val="23"/>
          <w:szCs w:val="22"/>
        </w:rPr>
        <w:t xml:space="preserve">sufficiente riconoscimento degli antecedenti </w:t>
      </w:r>
      <w:r w:rsidRPr="00AB37CB">
        <w:rPr>
          <w:rFonts w:ascii="Verdana" w:hAnsi="Verdana" w:cs="Arial"/>
          <w:sz w:val="23"/>
          <w:szCs w:val="22"/>
        </w:rPr>
        <w:t xml:space="preserve">di violenza domestica, le autorità spagnole </w:t>
      </w:r>
      <w:r w:rsidR="005D2F58" w:rsidRPr="00AB37CB">
        <w:rPr>
          <w:rFonts w:ascii="Verdana" w:hAnsi="Verdana" w:cs="Arial"/>
          <w:sz w:val="23"/>
          <w:szCs w:val="22"/>
        </w:rPr>
        <w:t xml:space="preserve">hanno </w:t>
      </w:r>
      <w:r w:rsidR="00E14F22" w:rsidRPr="00AB37CB">
        <w:rPr>
          <w:rFonts w:ascii="Verdana" w:hAnsi="Verdana" w:cs="Arial"/>
          <w:sz w:val="23"/>
          <w:szCs w:val="22"/>
        </w:rPr>
        <w:t>disatteso i</w:t>
      </w:r>
      <w:r w:rsidRPr="00AB37CB">
        <w:rPr>
          <w:rFonts w:ascii="Verdana" w:hAnsi="Verdana" w:cs="Arial"/>
          <w:sz w:val="23"/>
          <w:szCs w:val="22"/>
        </w:rPr>
        <w:t xml:space="preserve"> loro obblighi di dovuta diligenza ai sensi della Convenzione (paragrafo 9.7). Il Comitato </w:t>
      </w:r>
      <w:r w:rsidR="005D2F58" w:rsidRPr="00AB37CB">
        <w:rPr>
          <w:rFonts w:ascii="Verdana" w:hAnsi="Verdana" w:cs="Arial"/>
          <w:sz w:val="23"/>
          <w:szCs w:val="22"/>
        </w:rPr>
        <w:t>ha raccomandato</w:t>
      </w:r>
      <w:r w:rsidRPr="00AB37CB">
        <w:rPr>
          <w:rFonts w:ascii="Verdana" w:hAnsi="Verdana" w:cs="Arial"/>
          <w:sz w:val="23"/>
          <w:szCs w:val="22"/>
        </w:rPr>
        <w:t xml:space="preserve">, tra le altre cose, che </w:t>
      </w:r>
      <w:r w:rsidR="00E14F22" w:rsidRPr="00AB37CB">
        <w:rPr>
          <w:rFonts w:ascii="Verdana" w:hAnsi="Verdana" w:cs="Arial"/>
          <w:sz w:val="23"/>
          <w:szCs w:val="22"/>
        </w:rPr>
        <w:t xml:space="preserve">la storia </w:t>
      </w:r>
      <w:r w:rsidRPr="00AB37CB">
        <w:rPr>
          <w:rFonts w:ascii="Verdana" w:hAnsi="Verdana" w:cs="Arial"/>
          <w:sz w:val="23"/>
          <w:szCs w:val="22"/>
        </w:rPr>
        <w:t xml:space="preserve">di violenza domestica sia </w:t>
      </w:r>
      <w:r w:rsidR="00E14F22" w:rsidRPr="00AB37CB">
        <w:rPr>
          <w:rFonts w:ascii="Verdana" w:hAnsi="Verdana" w:cs="Arial"/>
          <w:sz w:val="23"/>
          <w:szCs w:val="22"/>
        </w:rPr>
        <w:t>presa in considerazione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E14F22" w:rsidRPr="00AB37CB">
        <w:rPr>
          <w:rFonts w:ascii="Verdana" w:hAnsi="Verdana" w:cs="Arial"/>
          <w:sz w:val="23"/>
          <w:szCs w:val="22"/>
        </w:rPr>
        <w:t xml:space="preserve">nella calendarizzazione dei </w:t>
      </w:r>
      <w:r w:rsidRPr="00AB37CB">
        <w:rPr>
          <w:rFonts w:ascii="Verdana" w:hAnsi="Verdana" w:cs="Arial"/>
          <w:sz w:val="23"/>
          <w:szCs w:val="22"/>
        </w:rPr>
        <w:t>diritti di visita</w:t>
      </w:r>
      <w:r w:rsidR="00E14F22" w:rsidRPr="00AB37CB">
        <w:rPr>
          <w:rFonts w:ascii="Verdana" w:hAnsi="Verdana" w:cs="Arial"/>
          <w:sz w:val="23"/>
          <w:szCs w:val="22"/>
        </w:rPr>
        <w:t>, affinché questi ultimi non mettano in pericolo le donne e i bambini</w:t>
      </w:r>
      <w:r w:rsidRPr="00AB37CB">
        <w:rPr>
          <w:rFonts w:ascii="Verdana" w:hAnsi="Verdana" w:cs="Arial"/>
          <w:sz w:val="23"/>
          <w:szCs w:val="22"/>
        </w:rPr>
        <w:t>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 xml:space="preserve">Questi, e altri casi simili, </w:t>
      </w:r>
      <w:r w:rsidR="008211CD" w:rsidRPr="00AB37CB">
        <w:rPr>
          <w:rFonts w:ascii="Verdana" w:hAnsi="Verdana" w:cs="Arial"/>
          <w:sz w:val="23"/>
          <w:szCs w:val="22"/>
        </w:rPr>
        <w:t xml:space="preserve">si sarebbero potuti prevenire </w:t>
      </w:r>
      <w:r w:rsidRPr="00AB37CB">
        <w:rPr>
          <w:rFonts w:ascii="Verdana" w:hAnsi="Verdana" w:cs="Arial"/>
          <w:sz w:val="23"/>
          <w:szCs w:val="22"/>
        </w:rPr>
        <w:t xml:space="preserve">se le autorità avessero adempiuto </w:t>
      </w:r>
      <w:r w:rsidR="005D2F58" w:rsidRPr="00AB37CB">
        <w:rPr>
          <w:rFonts w:ascii="Verdana" w:hAnsi="Verdana" w:cs="Arial"/>
          <w:sz w:val="23"/>
          <w:szCs w:val="22"/>
        </w:rPr>
        <w:t>a</w:t>
      </w:r>
      <w:r w:rsidRPr="00AB37CB">
        <w:rPr>
          <w:rFonts w:ascii="Verdana" w:hAnsi="Verdana" w:cs="Arial"/>
          <w:sz w:val="23"/>
          <w:szCs w:val="22"/>
        </w:rPr>
        <w:t xml:space="preserve">i loro obblighi internazionali </w:t>
      </w:r>
      <w:r w:rsidR="008211CD" w:rsidRPr="00AB37CB">
        <w:rPr>
          <w:rFonts w:ascii="Verdana" w:hAnsi="Verdana" w:cs="Arial"/>
          <w:sz w:val="23"/>
          <w:szCs w:val="22"/>
        </w:rPr>
        <w:t>aderendo</w:t>
      </w:r>
      <w:r w:rsidRPr="00AB37CB">
        <w:rPr>
          <w:rFonts w:ascii="Verdana" w:hAnsi="Verdana" w:cs="Arial"/>
          <w:sz w:val="23"/>
          <w:szCs w:val="22"/>
        </w:rPr>
        <w:t xml:space="preserve"> agli standard di dovuta diligenza per prevenire, investigare, perseguire e punire coloro che commettono violenza contro le donne, inclusa quella domestica</w:t>
      </w:r>
      <w:r w:rsidR="008211CD" w:rsidRPr="00AB37CB">
        <w:rPr>
          <w:rFonts w:ascii="Verdana" w:hAnsi="Verdana" w:cs="Arial"/>
          <w:sz w:val="23"/>
          <w:szCs w:val="22"/>
        </w:rPr>
        <w:t xml:space="preserve"> e nelle relazioni di intimità</w:t>
      </w:r>
      <w:r w:rsidRPr="00AB37CB">
        <w:rPr>
          <w:rFonts w:ascii="Verdana" w:hAnsi="Verdana" w:cs="Arial"/>
          <w:sz w:val="23"/>
          <w:szCs w:val="22"/>
        </w:rPr>
        <w:t>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>Inoltre, gli</w:t>
      </w:r>
      <w:r w:rsidR="00F232EE">
        <w:rPr>
          <w:rFonts w:ascii="Verdana" w:hAnsi="Verdana" w:cs="Arial"/>
          <w:sz w:val="23"/>
          <w:szCs w:val="22"/>
        </w:rPr>
        <w:t>/le</w:t>
      </w:r>
      <w:r w:rsidRPr="00AB37CB">
        <w:rPr>
          <w:rFonts w:ascii="Verdana" w:hAnsi="Verdana" w:cs="Arial"/>
          <w:sz w:val="23"/>
          <w:szCs w:val="22"/>
        </w:rPr>
        <w:t xml:space="preserve"> esperti</w:t>
      </w:r>
      <w:r w:rsidR="00F232EE">
        <w:rPr>
          <w:rFonts w:ascii="Verdana" w:hAnsi="Verdana" w:cs="Arial"/>
          <w:sz w:val="23"/>
          <w:szCs w:val="22"/>
        </w:rPr>
        <w:t>/e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5D2F58" w:rsidRPr="00AB37CB">
        <w:rPr>
          <w:rFonts w:ascii="Verdana" w:hAnsi="Verdana" w:cs="Arial"/>
          <w:sz w:val="23"/>
          <w:szCs w:val="22"/>
        </w:rPr>
        <w:t xml:space="preserve">hanno </w:t>
      </w:r>
      <w:r w:rsidR="008211CD" w:rsidRPr="00AB37CB">
        <w:rPr>
          <w:rFonts w:ascii="Verdana" w:hAnsi="Verdana" w:cs="Arial"/>
          <w:sz w:val="23"/>
          <w:szCs w:val="22"/>
        </w:rPr>
        <w:t>ribadito</w:t>
      </w:r>
      <w:r w:rsidRPr="00AB37CB">
        <w:rPr>
          <w:rFonts w:ascii="Verdana" w:hAnsi="Verdana" w:cs="Arial"/>
          <w:sz w:val="23"/>
          <w:szCs w:val="22"/>
        </w:rPr>
        <w:t xml:space="preserve"> che la Raccomandazione Generale CEDAW n. 35 (2017) sulla violenza di genere contro le donne, che aggiorna la </w:t>
      </w:r>
      <w:r w:rsidR="005D2F58" w:rsidRPr="00AB37CB">
        <w:rPr>
          <w:rFonts w:ascii="Verdana" w:hAnsi="Verdana" w:cs="Arial"/>
          <w:sz w:val="23"/>
          <w:szCs w:val="22"/>
        </w:rPr>
        <w:t>R</w:t>
      </w:r>
      <w:r w:rsidRPr="00AB37CB">
        <w:rPr>
          <w:rFonts w:ascii="Verdana" w:hAnsi="Verdana" w:cs="Arial"/>
          <w:sz w:val="23"/>
          <w:szCs w:val="22"/>
        </w:rPr>
        <w:t xml:space="preserve">accomandazione </w:t>
      </w:r>
      <w:r w:rsidR="005D2F58" w:rsidRPr="00AB37CB">
        <w:rPr>
          <w:rFonts w:ascii="Verdana" w:hAnsi="Verdana" w:cs="Arial"/>
          <w:sz w:val="23"/>
          <w:szCs w:val="22"/>
        </w:rPr>
        <w:t>G</w:t>
      </w:r>
      <w:r w:rsidRPr="00AB37CB">
        <w:rPr>
          <w:rFonts w:ascii="Verdana" w:hAnsi="Verdana" w:cs="Arial"/>
          <w:sz w:val="23"/>
          <w:szCs w:val="22"/>
        </w:rPr>
        <w:t xml:space="preserve">enerale n. 19, afferma che “i diritti e le pretese </w:t>
      </w:r>
      <w:r w:rsidR="005D2F58" w:rsidRPr="00AB37CB">
        <w:rPr>
          <w:rFonts w:ascii="Verdana" w:hAnsi="Verdana" w:cs="Arial"/>
          <w:sz w:val="23"/>
          <w:szCs w:val="22"/>
        </w:rPr>
        <w:t>avanzate durante e dopo il procedimento giudiziario da</w:t>
      </w:r>
      <w:r w:rsidRPr="00AB37CB">
        <w:rPr>
          <w:rFonts w:ascii="Verdana" w:hAnsi="Verdana" w:cs="Arial"/>
          <w:sz w:val="23"/>
          <w:szCs w:val="22"/>
        </w:rPr>
        <w:t xml:space="preserve"> coloro che </w:t>
      </w:r>
      <w:r w:rsidR="005D2F58" w:rsidRPr="00AB37CB">
        <w:rPr>
          <w:rFonts w:ascii="Verdana" w:hAnsi="Verdana" w:cs="Arial"/>
          <w:sz w:val="23"/>
          <w:szCs w:val="22"/>
        </w:rPr>
        <w:t>hanno commesso o si presume abbiano commesso</w:t>
      </w:r>
      <w:r w:rsidRPr="00AB37CB">
        <w:rPr>
          <w:rFonts w:ascii="Verdana" w:hAnsi="Verdana" w:cs="Arial"/>
          <w:sz w:val="23"/>
          <w:szCs w:val="22"/>
        </w:rPr>
        <w:t xml:space="preserve"> la violenza, incluso </w:t>
      </w:r>
      <w:r w:rsidR="008E76F2">
        <w:rPr>
          <w:rFonts w:ascii="Verdana" w:hAnsi="Verdana" w:cs="Arial"/>
          <w:sz w:val="23"/>
          <w:szCs w:val="22"/>
        </w:rPr>
        <w:t xml:space="preserve">per </w:t>
      </w:r>
      <w:r w:rsidR="005D2F58" w:rsidRPr="00AB37CB">
        <w:rPr>
          <w:rFonts w:ascii="Verdana" w:hAnsi="Verdana" w:cs="Arial"/>
          <w:sz w:val="23"/>
          <w:szCs w:val="22"/>
        </w:rPr>
        <w:t>quanto</w:t>
      </w:r>
      <w:r w:rsidRPr="00AB37CB">
        <w:rPr>
          <w:rFonts w:ascii="Verdana" w:hAnsi="Verdana" w:cs="Arial"/>
          <w:sz w:val="23"/>
          <w:szCs w:val="22"/>
        </w:rPr>
        <w:t xml:space="preserve"> riguarda la proprietà, la </w:t>
      </w:r>
      <w:r w:rsidR="000149D0">
        <w:rPr>
          <w:rFonts w:ascii="Verdana" w:hAnsi="Verdana" w:cs="Arial"/>
          <w:sz w:val="23"/>
          <w:szCs w:val="22"/>
        </w:rPr>
        <w:t>riservatezza</w:t>
      </w:r>
      <w:r w:rsidRPr="00AB37CB">
        <w:rPr>
          <w:rFonts w:ascii="Verdana" w:hAnsi="Verdana" w:cs="Arial"/>
          <w:sz w:val="23"/>
          <w:szCs w:val="22"/>
        </w:rPr>
        <w:t xml:space="preserve">, la custodia, l’accesso, il contatto </w:t>
      </w:r>
      <w:r w:rsidR="008E76F2">
        <w:rPr>
          <w:rFonts w:ascii="Verdana" w:hAnsi="Verdana" w:cs="Arial"/>
          <w:sz w:val="23"/>
          <w:szCs w:val="22"/>
        </w:rPr>
        <w:t xml:space="preserve">con </w:t>
      </w:r>
      <w:r w:rsidRPr="00AB37CB">
        <w:rPr>
          <w:rFonts w:ascii="Verdana" w:hAnsi="Verdana" w:cs="Arial"/>
          <w:sz w:val="23"/>
          <w:szCs w:val="22"/>
        </w:rPr>
        <w:t xml:space="preserve">e la visita dei figli, dovrebbero essere determinati alla </w:t>
      </w:r>
      <w:r w:rsidR="005D2F58" w:rsidRPr="00AB37CB">
        <w:rPr>
          <w:rFonts w:ascii="Verdana" w:hAnsi="Verdana" w:cs="Arial"/>
          <w:sz w:val="23"/>
          <w:szCs w:val="22"/>
        </w:rPr>
        <w:t>l</w:t>
      </w:r>
      <w:r w:rsidRPr="00AB37CB">
        <w:rPr>
          <w:rFonts w:ascii="Verdana" w:hAnsi="Verdana" w:cs="Arial"/>
          <w:sz w:val="23"/>
          <w:szCs w:val="22"/>
        </w:rPr>
        <w:t>uce de</w:t>
      </w:r>
      <w:r w:rsidR="008C2D8A" w:rsidRPr="00AB37CB">
        <w:rPr>
          <w:rFonts w:ascii="Verdana" w:hAnsi="Verdana" w:cs="Arial"/>
          <w:sz w:val="23"/>
          <w:szCs w:val="22"/>
        </w:rPr>
        <w:t>l rispetto de</w:t>
      </w:r>
      <w:r w:rsidRPr="00AB37CB">
        <w:rPr>
          <w:rFonts w:ascii="Verdana" w:hAnsi="Verdana" w:cs="Arial"/>
          <w:sz w:val="23"/>
          <w:szCs w:val="22"/>
        </w:rPr>
        <w:t>i diritti umani delle donne e dei bambini alla vita e all’integrità fisica, sessuale e psicologica, e guidati dal principio del</w:t>
      </w:r>
      <w:r w:rsidR="00F25E57" w:rsidRPr="00AB37CB">
        <w:rPr>
          <w:rFonts w:ascii="Verdana" w:hAnsi="Verdana" w:cs="Arial"/>
          <w:sz w:val="23"/>
          <w:szCs w:val="22"/>
        </w:rPr>
        <w:t xml:space="preserve"> prevalente </w:t>
      </w:r>
      <w:r w:rsidRPr="00AB37CB">
        <w:rPr>
          <w:rFonts w:ascii="Verdana" w:hAnsi="Verdana" w:cs="Arial"/>
          <w:sz w:val="23"/>
          <w:szCs w:val="22"/>
        </w:rPr>
        <w:t xml:space="preserve">interesse del </w:t>
      </w:r>
      <w:r w:rsidR="00F25E57" w:rsidRPr="00AB37CB">
        <w:rPr>
          <w:rFonts w:ascii="Verdana" w:hAnsi="Verdana" w:cs="Arial"/>
          <w:sz w:val="23"/>
          <w:szCs w:val="22"/>
        </w:rPr>
        <w:t>minore</w:t>
      </w:r>
      <w:r w:rsidRPr="00AB37CB">
        <w:rPr>
          <w:rFonts w:ascii="Verdana" w:hAnsi="Verdana" w:cs="Arial"/>
          <w:sz w:val="23"/>
          <w:szCs w:val="22"/>
        </w:rPr>
        <w:t>”.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lastRenderedPageBreak/>
        <w:t xml:space="preserve">Il Modello di Legge Inter-Americana sulla Prevenzione, la Punizione e l’Eradicazione degli Omicidi delle Donne e delle Bambine </w:t>
      </w:r>
      <w:r w:rsidR="00F25E57" w:rsidRPr="00AB37CB">
        <w:rPr>
          <w:rFonts w:ascii="Verdana" w:hAnsi="Verdana" w:cs="Arial"/>
          <w:sz w:val="23"/>
          <w:szCs w:val="22"/>
        </w:rPr>
        <w:t>basati</w:t>
      </w:r>
      <w:r w:rsidRPr="00AB37CB">
        <w:rPr>
          <w:rFonts w:ascii="Verdana" w:hAnsi="Verdana" w:cs="Arial"/>
          <w:sz w:val="23"/>
          <w:szCs w:val="22"/>
        </w:rPr>
        <w:t xml:space="preserve"> </w:t>
      </w:r>
      <w:r w:rsidR="00F25E57" w:rsidRPr="00AB37CB">
        <w:rPr>
          <w:rFonts w:ascii="Verdana" w:hAnsi="Verdana" w:cs="Arial"/>
          <w:sz w:val="23"/>
          <w:szCs w:val="22"/>
        </w:rPr>
        <w:t>sul</w:t>
      </w:r>
      <w:r w:rsidRPr="00AB37CB">
        <w:rPr>
          <w:rFonts w:ascii="Verdana" w:hAnsi="Verdana" w:cs="Arial"/>
          <w:sz w:val="23"/>
          <w:szCs w:val="22"/>
        </w:rPr>
        <w:t xml:space="preserve"> Genere, al suo articolo 10 afferma che “qualunque padre imputato in un procedimento penale per i </w:t>
      </w:r>
      <w:r w:rsidR="008C2D8A" w:rsidRPr="00AB37CB">
        <w:rPr>
          <w:rFonts w:ascii="Verdana" w:hAnsi="Verdana" w:cs="Arial"/>
          <w:sz w:val="23"/>
          <w:szCs w:val="22"/>
        </w:rPr>
        <w:t>reati</w:t>
      </w:r>
      <w:r w:rsidRPr="00AB37CB">
        <w:rPr>
          <w:rFonts w:ascii="Verdana" w:hAnsi="Verdana" w:cs="Arial"/>
          <w:sz w:val="23"/>
          <w:szCs w:val="22"/>
        </w:rPr>
        <w:t xml:space="preserve"> di </w:t>
      </w:r>
      <w:proofErr w:type="spellStart"/>
      <w:r w:rsidRPr="00AB37CB">
        <w:rPr>
          <w:rFonts w:ascii="Verdana" w:hAnsi="Verdana" w:cs="Arial"/>
          <w:sz w:val="23"/>
          <w:szCs w:val="22"/>
        </w:rPr>
        <w:t>femminicidio</w:t>
      </w:r>
      <w:proofErr w:type="spellEnd"/>
      <w:r w:rsidR="00F25E57" w:rsidRPr="00AB37CB">
        <w:rPr>
          <w:rFonts w:ascii="Verdana" w:hAnsi="Verdana" w:cs="Arial"/>
          <w:sz w:val="23"/>
          <w:szCs w:val="22"/>
        </w:rPr>
        <w:t>/</w:t>
      </w:r>
      <w:proofErr w:type="spellStart"/>
      <w:r w:rsidR="00F25E57" w:rsidRPr="00AB37CB">
        <w:rPr>
          <w:rFonts w:ascii="Verdana" w:hAnsi="Verdana" w:cs="Arial"/>
          <w:sz w:val="23"/>
          <w:szCs w:val="22"/>
        </w:rPr>
        <w:t>femicidio</w:t>
      </w:r>
      <w:proofErr w:type="spellEnd"/>
      <w:r w:rsidRPr="00AB37CB">
        <w:rPr>
          <w:rFonts w:ascii="Verdana" w:hAnsi="Verdana" w:cs="Arial"/>
          <w:sz w:val="23"/>
          <w:szCs w:val="22"/>
        </w:rPr>
        <w:t>, induzione al suicidio, consumat</w:t>
      </w:r>
      <w:r w:rsidR="00F25E57" w:rsidRPr="00AB37CB">
        <w:rPr>
          <w:rFonts w:ascii="Verdana" w:hAnsi="Verdana" w:cs="Arial"/>
          <w:sz w:val="23"/>
          <w:szCs w:val="22"/>
        </w:rPr>
        <w:t>i</w:t>
      </w:r>
      <w:r w:rsidRPr="00AB37CB">
        <w:rPr>
          <w:rFonts w:ascii="Verdana" w:hAnsi="Verdana" w:cs="Arial"/>
          <w:sz w:val="23"/>
          <w:szCs w:val="22"/>
        </w:rPr>
        <w:t xml:space="preserve"> o tentat</w:t>
      </w:r>
      <w:r w:rsidR="00F25E57" w:rsidRPr="00AB37CB">
        <w:rPr>
          <w:rFonts w:ascii="Verdana" w:hAnsi="Verdana" w:cs="Arial"/>
          <w:sz w:val="23"/>
          <w:szCs w:val="22"/>
        </w:rPr>
        <w:t>i</w:t>
      </w:r>
      <w:r w:rsidRPr="00AB37CB">
        <w:rPr>
          <w:rFonts w:ascii="Verdana" w:hAnsi="Verdana" w:cs="Arial"/>
          <w:sz w:val="23"/>
          <w:szCs w:val="22"/>
        </w:rPr>
        <w:t>, sar</w:t>
      </w:r>
      <w:r w:rsidR="008C2D8A" w:rsidRPr="00AB37CB">
        <w:rPr>
          <w:rFonts w:ascii="Verdana" w:hAnsi="Verdana" w:cs="Arial"/>
          <w:sz w:val="23"/>
          <w:szCs w:val="22"/>
        </w:rPr>
        <w:t>à</w:t>
      </w:r>
      <w:r w:rsidRPr="00AB37CB">
        <w:rPr>
          <w:rFonts w:ascii="Verdana" w:hAnsi="Verdana" w:cs="Arial"/>
          <w:sz w:val="23"/>
          <w:szCs w:val="22"/>
        </w:rPr>
        <w:t xml:space="preserve"> sospeso dall’esercizio della custodia dei bambini, siano figli suoi o meno, finch</w:t>
      </w:r>
      <w:r w:rsidR="008C2D8A" w:rsidRPr="00AB37CB">
        <w:rPr>
          <w:rFonts w:ascii="Verdana" w:hAnsi="Verdana" w:cs="Arial"/>
          <w:sz w:val="23"/>
          <w:szCs w:val="22"/>
        </w:rPr>
        <w:t>é</w:t>
      </w:r>
      <w:r w:rsidRPr="00AB37CB">
        <w:rPr>
          <w:rFonts w:ascii="Verdana" w:hAnsi="Verdana" w:cs="Arial"/>
          <w:sz w:val="23"/>
          <w:szCs w:val="22"/>
        </w:rPr>
        <w:t xml:space="preserve"> non venga </w:t>
      </w:r>
      <w:r w:rsidR="00F25E57" w:rsidRPr="00AB37CB">
        <w:rPr>
          <w:rFonts w:ascii="Verdana" w:hAnsi="Verdana" w:cs="Arial"/>
          <w:sz w:val="23"/>
          <w:szCs w:val="22"/>
        </w:rPr>
        <w:t>adottata</w:t>
      </w:r>
      <w:r w:rsidRPr="00AB37CB">
        <w:rPr>
          <w:rFonts w:ascii="Verdana" w:hAnsi="Verdana" w:cs="Arial"/>
          <w:sz w:val="23"/>
          <w:szCs w:val="22"/>
        </w:rPr>
        <w:t xml:space="preserve"> una decisione </w:t>
      </w:r>
      <w:r w:rsidR="00F25E57" w:rsidRPr="00AB37CB">
        <w:rPr>
          <w:rFonts w:ascii="Verdana" w:hAnsi="Verdana" w:cs="Arial"/>
          <w:sz w:val="23"/>
          <w:szCs w:val="22"/>
        </w:rPr>
        <w:t>finale</w:t>
      </w:r>
      <w:r w:rsidRPr="00AB37CB">
        <w:rPr>
          <w:rFonts w:ascii="Verdana" w:hAnsi="Verdana" w:cs="Arial"/>
          <w:sz w:val="23"/>
          <w:szCs w:val="22"/>
        </w:rPr>
        <w:t xml:space="preserve"> nel </w:t>
      </w:r>
      <w:r w:rsidR="00F25E57" w:rsidRPr="00AB37CB">
        <w:rPr>
          <w:rFonts w:ascii="Verdana" w:hAnsi="Verdana" w:cs="Arial"/>
          <w:sz w:val="23"/>
          <w:szCs w:val="22"/>
        </w:rPr>
        <w:t>procedimento</w:t>
      </w:r>
      <w:r w:rsidRPr="00AB37CB">
        <w:rPr>
          <w:rFonts w:ascii="Verdana" w:hAnsi="Verdana" w:cs="Arial"/>
          <w:sz w:val="23"/>
          <w:szCs w:val="22"/>
        </w:rPr>
        <w:t xml:space="preserve"> penale. I diritti di custodia saranno temporaneamente esercitati da</w:t>
      </w:r>
      <w:r w:rsidR="008C2D8A" w:rsidRPr="00AB37CB">
        <w:rPr>
          <w:rFonts w:ascii="Verdana" w:hAnsi="Verdana" w:cs="Arial"/>
          <w:sz w:val="23"/>
          <w:szCs w:val="22"/>
        </w:rPr>
        <w:t xml:space="preserve"> una</w:t>
      </w:r>
      <w:r w:rsidRPr="00AB37CB">
        <w:rPr>
          <w:rFonts w:ascii="Verdana" w:hAnsi="Verdana" w:cs="Arial"/>
          <w:sz w:val="23"/>
          <w:szCs w:val="22"/>
        </w:rPr>
        <w:t xml:space="preserve"> persona </w:t>
      </w:r>
      <w:r w:rsidR="008C2D8A" w:rsidRPr="00AB37CB">
        <w:rPr>
          <w:rFonts w:ascii="Verdana" w:hAnsi="Verdana" w:cs="Arial"/>
          <w:sz w:val="23"/>
          <w:szCs w:val="22"/>
        </w:rPr>
        <w:t xml:space="preserve">ritenuta </w:t>
      </w:r>
      <w:r w:rsidRPr="00AB37CB">
        <w:rPr>
          <w:rFonts w:ascii="Verdana" w:hAnsi="Verdana" w:cs="Arial"/>
          <w:sz w:val="23"/>
          <w:szCs w:val="22"/>
        </w:rPr>
        <w:t>appropriata in base a</w:t>
      </w:r>
      <w:r w:rsidR="008C2D8A" w:rsidRPr="00AB37CB">
        <w:rPr>
          <w:rFonts w:ascii="Verdana" w:hAnsi="Verdana" w:cs="Arial"/>
          <w:sz w:val="23"/>
          <w:szCs w:val="22"/>
        </w:rPr>
        <w:t xml:space="preserve">l superiore </w:t>
      </w:r>
      <w:r w:rsidRPr="00AB37CB">
        <w:rPr>
          <w:rFonts w:ascii="Verdana" w:hAnsi="Verdana" w:cs="Arial"/>
          <w:sz w:val="23"/>
          <w:szCs w:val="22"/>
        </w:rPr>
        <w:t>interess</w:t>
      </w:r>
      <w:r w:rsidR="008C2D8A" w:rsidRPr="00AB37CB">
        <w:rPr>
          <w:rFonts w:ascii="Verdana" w:hAnsi="Verdana" w:cs="Arial"/>
          <w:sz w:val="23"/>
          <w:szCs w:val="22"/>
        </w:rPr>
        <w:t>e</w:t>
      </w:r>
      <w:r w:rsidRPr="00AB37CB">
        <w:rPr>
          <w:rFonts w:ascii="Verdana" w:hAnsi="Verdana" w:cs="Arial"/>
          <w:sz w:val="23"/>
          <w:szCs w:val="22"/>
        </w:rPr>
        <w:t xml:space="preserve"> dei bambini”.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  <w:r w:rsidRPr="00AB37CB">
        <w:rPr>
          <w:rFonts w:ascii="Verdana" w:hAnsi="Verdana" w:cs="Arial"/>
          <w:sz w:val="23"/>
          <w:szCs w:val="22"/>
        </w:rPr>
        <w:t>Il Protocollo di Maputo, all’articolo 7, afferma esplicitamente che “in caso di separazione, divorzio, o annullamento del matrimonio, donne e uomini hanno diritti e responsabilità reciproche nei confronti dei loro figli. In ogni caso, a</w:t>
      </w:r>
      <w:r w:rsidR="008C2D8A" w:rsidRPr="00AB37CB">
        <w:rPr>
          <w:rFonts w:ascii="Verdana" w:hAnsi="Verdana" w:cs="Arial"/>
          <w:sz w:val="23"/>
          <w:szCs w:val="22"/>
        </w:rPr>
        <w:t>ll’</w:t>
      </w:r>
      <w:r w:rsidRPr="00AB37CB">
        <w:rPr>
          <w:rFonts w:ascii="Verdana" w:hAnsi="Verdana" w:cs="Arial"/>
          <w:sz w:val="23"/>
          <w:szCs w:val="22"/>
        </w:rPr>
        <w:t>interess</w:t>
      </w:r>
      <w:r w:rsidR="008C2D8A" w:rsidRPr="00AB37CB">
        <w:rPr>
          <w:rFonts w:ascii="Verdana" w:hAnsi="Verdana" w:cs="Arial"/>
          <w:sz w:val="23"/>
          <w:szCs w:val="22"/>
        </w:rPr>
        <w:t>e</w:t>
      </w:r>
      <w:r w:rsidRPr="00AB37CB">
        <w:rPr>
          <w:rFonts w:ascii="Verdana" w:hAnsi="Verdana" w:cs="Arial"/>
          <w:sz w:val="23"/>
          <w:szCs w:val="22"/>
        </w:rPr>
        <w:t xml:space="preserve"> di bambini</w:t>
      </w:r>
      <w:r w:rsidR="00F25E57" w:rsidRPr="00AB37CB">
        <w:rPr>
          <w:rFonts w:ascii="Verdana" w:hAnsi="Verdana" w:cs="Arial"/>
          <w:sz w:val="23"/>
          <w:szCs w:val="22"/>
        </w:rPr>
        <w:t>/e</w:t>
      </w:r>
      <w:r w:rsidRPr="00AB37CB">
        <w:rPr>
          <w:rFonts w:ascii="Verdana" w:hAnsi="Verdana" w:cs="Arial"/>
          <w:sz w:val="23"/>
          <w:szCs w:val="22"/>
        </w:rPr>
        <w:t xml:space="preserve"> deve essere attribuita la massima importanza”.</w:t>
      </w:r>
    </w:p>
    <w:p w:rsidR="003A4838" w:rsidRPr="00AB37CB" w:rsidRDefault="003A4838" w:rsidP="005D2F58">
      <w:pPr>
        <w:jc w:val="both"/>
        <w:rPr>
          <w:rFonts w:ascii="Verdana" w:hAnsi="Verdana" w:cs="Arial"/>
          <w:sz w:val="23"/>
          <w:szCs w:val="22"/>
        </w:rPr>
      </w:pPr>
    </w:p>
    <w:p w:rsidR="008E76F2" w:rsidRDefault="003A483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  <w:r w:rsidRPr="00AB37CB">
        <w:rPr>
          <w:rFonts w:ascii="Verdana" w:hAnsi="Verdana" w:cs="Arial"/>
          <w:sz w:val="23"/>
          <w:szCs w:val="22"/>
        </w:rPr>
        <w:t>La Convenzione del Consiglio d’Europa sulla Prevenzione e la Lotta alla Violenza contro le Donne e la Violenza di Genere (la Convenzione di Istanbul) è l’unico strumento legalmente vincolante sulla violenza contro le donne che contiene una disposizione esplicita sulla custodia dei figli in queste situazion</w:t>
      </w:r>
      <w:r w:rsidR="008C2D8A" w:rsidRPr="00AB37CB">
        <w:rPr>
          <w:rFonts w:ascii="Verdana" w:hAnsi="Verdana" w:cs="Arial"/>
          <w:sz w:val="23"/>
          <w:szCs w:val="22"/>
        </w:rPr>
        <w:t>i</w:t>
      </w:r>
      <w:r w:rsidRPr="00AB37CB">
        <w:rPr>
          <w:rFonts w:ascii="Verdana" w:hAnsi="Verdana" w:cs="Arial"/>
          <w:sz w:val="23"/>
          <w:szCs w:val="22"/>
        </w:rPr>
        <w:t>. All’articolo 31 richiede che gli Stati prendano le “</w:t>
      </w:r>
      <w:r w:rsidRPr="00AB37CB">
        <w:rPr>
          <w:rFonts w:ascii="Verdana" w:eastAsia="Times New Roman" w:hAnsi="Verdana" w:cs="Arial"/>
          <w:color w:val="161616"/>
          <w:sz w:val="23"/>
          <w:szCs w:val="22"/>
          <w:shd w:val="clear" w:color="auto" w:fill="FFFFFF"/>
          <w:lang w:eastAsia="it-IT"/>
        </w:rPr>
        <w:t>misure legislative o di altro tipo necessarie per garantire che, al momento di determinare i diritti di custodia e di visita dei figli, siano presi in considerazione gli episodi di violenza che rientrano nel campo di applicazione della presente Convenzione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” e che “</w:t>
      </w:r>
      <w:r w:rsidRPr="00AB37CB">
        <w:rPr>
          <w:rFonts w:ascii="Verdana" w:eastAsia="Times New Roman" w:hAnsi="Verdana" w:cs="Arial"/>
          <w:color w:val="161616"/>
          <w:sz w:val="23"/>
          <w:szCs w:val="22"/>
          <w:shd w:val="clear" w:color="auto" w:fill="FFFFFF"/>
          <w:lang w:eastAsia="it-IT"/>
        </w:rPr>
        <w:t>l'esercizio dei diritti di visita o di custodia dei figli non comprometta i diritti e la sicurezza della vittima o dei bambini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”. </w:t>
      </w:r>
    </w:p>
    <w:p w:rsidR="008E76F2" w:rsidRDefault="008E76F2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</w:p>
    <w:p w:rsidR="003A4838" w:rsidRPr="00AB37CB" w:rsidRDefault="003A483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L’organo di esperti ed esperte che monitora l’attuazione degli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s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tandard della Convenzione (GREVIO) ha riscontrato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in tutti e 10 gli Stati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finora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monitorati elementi di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discriminazione di genere nelle decisioni in merito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>ai diritti di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custodia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,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e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>scarsa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attenzione da parte de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i tribunali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ai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meccanismi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di abuso da parte dei padri.</w:t>
      </w:r>
    </w:p>
    <w:p w:rsidR="003A4838" w:rsidRPr="00AB37CB" w:rsidRDefault="003A483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</w:p>
    <w:p w:rsidR="00FD275B" w:rsidRDefault="000149D0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  <w:r>
        <w:rPr>
          <w:rFonts w:ascii="Verdana" w:eastAsia="Times New Roman" w:hAnsi="Verdana" w:cs="Arial"/>
          <w:sz w:val="23"/>
          <w:szCs w:val="22"/>
          <w:lang w:eastAsia="it-IT"/>
        </w:rPr>
        <w:t>E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>sperti/e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hanno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inoltre 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scoraggiato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il ricorso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all’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“Alienazione Parentale”</w:t>
      </w:r>
      <w:r w:rsidR="0034080D" w:rsidRPr="00AB37CB">
        <w:rPr>
          <w:rStyle w:val="Rimandonotaapidipagina"/>
          <w:rFonts w:ascii="Verdana" w:eastAsia="Times New Roman" w:hAnsi="Verdana" w:cs="Arial"/>
          <w:sz w:val="23"/>
          <w:szCs w:val="22"/>
          <w:lang w:eastAsia="it-IT"/>
        </w:rPr>
        <w:footnoteReference w:id="6"/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e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a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concetti e termini simili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,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invocati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per negare la custodia dei figli alla madre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>attribuendola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invece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al padre accusato di violenza domestica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,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in una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>modalità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che non tiene in minima considerazione possibili rischi per il </w:t>
      </w:r>
      <w:r w:rsidR="00F25E57" w:rsidRPr="00AB37CB">
        <w:rPr>
          <w:rFonts w:ascii="Verdana" w:eastAsia="Times New Roman" w:hAnsi="Verdana" w:cs="Arial"/>
          <w:sz w:val="23"/>
          <w:szCs w:val="22"/>
          <w:lang w:eastAsia="it-IT"/>
        </w:rPr>
        <w:t>minore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>. A tal proposito, il Comitato di Esperti</w:t>
      </w:r>
      <w:r w:rsidR="00C954B1" w:rsidRPr="00AB37CB">
        <w:rPr>
          <w:rFonts w:ascii="Verdana" w:eastAsia="Times New Roman" w:hAnsi="Verdana" w:cs="Arial"/>
          <w:sz w:val="23"/>
          <w:szCs w:val="22"/>
          <w:lang w:eastAsia="it-IT"/>
        </w:rPr>
        <w:t>/e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per il Meccanismo di Monitoraggio per la Convenzione di Belem do Para (MESECVI), nella Dichiarazione del 2014 sulla Violenza contro le Donne, le Bambine e le Adolescenti e i loro Diritti Sessuali e Riproduttivi, raccomanda di proibire esplicitamente, durante le </w:t>
      </w:r>
      <w:r w:rsidR="00C954B1" w:rsidRPr="00AB37CB">
        <w:rPr>
          <w:rFonts w:ascii="Verdana" w:eastAsia="Times New Roman" w:hAnsi="Verdana" w:cs="Arial"/>
          <w:sz w:val="23"/>
          <w:szCs w:val="22"/>
          <w:lang w:eastAsia="it-IT"/>
        </w:rPr>
        <w:t>indagini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per </w:t>
      </w:r>
      <w:r>
        <w:rPr>
          <w:rFonts w:ascii="Verdana" w:eastAsia="Times New Roman" w:hAnsi="Verdana" w:cs="Arial"/>
          <w:sz w:val="23"/>
          <w:szCs w:val="22"/>
          <w:lang w:eastAsia="it-IT"/>
        </w:rPr>
        <w:t>accertare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l’esistenza d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>ella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violenza, “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p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rove basate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su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testimonianz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e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che scredita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no</w:t>
      </w:r>
      <w:r w:rsidR="003A4838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sulla base di una presunta Sindrome da Alienazione Parentale”. </w:t>
      </w:r>
    </w:p>
    <w:p w:rsidR="008E76F2" w:rsidRDefault="008E76F2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</w:p>
    <w:p w:rsidR="003A4838" w:rsidRPr="00AB37CB" w:rsidRDefault="003A483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Gli</w:t>
      </w:r>
      <w:r w:rsidR="000149D0">
        <w:rPr>
          <w:rFonts w:ascii="Verdana" w:eastAsia="Times New Roman" w:hAnsi="Verdana" w:cs="Arial"/>
          <w:sz w:val="23"/>
          <w:szCs w:val="22"/>
          <w:lang w:eastAsia="it-IT"/>
        </w:rPr>
        <w:t>/Le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esperti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>/e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hanno inoltre manifestato preoccupazione per la recente inclusione dell’“alienazione parentale” 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>come voce n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ella 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nuova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Classificazione Internazionale delle Malattie dell’Organizzazione Mondiale della Sanità (ICD-11)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quale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“problema riguardante la relazione tra il bambino e colui che se ne prende cura” che potrebbe essere utilizzato 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>impropriamente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se applicato senza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tenere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in considerazione gli standard internazionali sopra menzionati che 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>impongono di tenere in debita considerazione gli episodi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di violenza contro le donne e che </w:t>
      </w:r>
      <w:r w:rsidR="000149D0">
        <w:rPr>
          <w:rFonts w:ascii="Verdana" w:eastAsia="Times New Roman" w:hAnsi="Verdana" w:cs="Arial"/>
          <w:sz w:val="23"/>
          <w:szCs w:val="22"/>
          <w:lang w:eastAsia="it-IT"/>
        </w:rPr>
        <w:t xml:space="preserve">impongono che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lastRenderedPageBreak/>
        <w:t xml:space="preserve">l’esercizio di 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>qualsiasi diritto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di visita o di custodia non metta a repentaglio i diritti e la sicurezza della vittima o dei </w:t>
      </w:r>
      <w:r w:rsidR="00F73DA6" w:rsidRPr="00AB37CB">
        <w:rPr>
          <w:rFonts w:ascii="Verdana" w:eastAsia="Times New Roman" w:hAnsi="Verdana" w:cs="Arial"/>
          <w:sz w:val="23"/>
          <w:szCs w:val="22"/>
          <w:lang w:eastAsia="it-IT"/>
        </w:rPr>
        <w:t>minori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. </w:t>
      </w:r>
      <w:r w:rsidRPr="008E76F2">
        <w:rPr>
          <w:rFonts w:ascii="Verdana" w:eastAsia="Times New Roman" w:hAnsi="Verdana" w:cs="Arial"/>
          <w:sz w:val="23"/>
          <w:szCs w:val="22"/>
          <w:lang w:eastAsia="it-IT"/>
        </w:rPr>
        <w:t>Le accuse di alienazione parentale da parte di padri abusanti contro le madri dev</w:t>
      </w:r>
      <w:r w:rsidR="009156C6" w:rsidRPr="008E76F2">
        <w:rPr>
          <w:rFonts w:ascii="Verdana" w:eastAsia="Times New Roman" w:hAnsi="Verdana" w:cs="Arial"/>
          <w:sz w:val="23"/>
          <w:szCs w:val="22"/>
          <w:lang w:eastAsia="it-IT"/>
        </w:rPr>
        <w:t>ono</w:t>
      </w:r>
      <w:r w:rsidRPr="008E76F2">
        <w:rPr>
          <w:rFonts w:ascii="Verdana" w:eastAsia="Times New Roman" w:hAnsi="Verdana" w:cs="Arial"/>
          <w:sz w:val="23"/>
          <w:szCs w:val="22"/>
          <w:lang w:eastAsia="it-IT"/>
        </w:rPr>
        <w:t xml:space="preserve"> essere considerat</w:t>
      </w:r>
      <w:r w:rsidR="009156C6" w:rsidRPr="008E76F2">
        <w:rPr>
          <w:rFonts w:ascii="Verdana" w:eastAsia="Times New Roman" w:hAnsi="Verdana" w:cs="Arial"/>
          <w:sz w:val="23"/>
          <w:szCs w:val="22"/>
          <w:lang w:eastAsia="it-IT"/>
        </w:rPr>
        <w:t>e</w:t>
      </w:r>
      <w:r w:rsidRPr="008E76F2">
        <w:rPr>
          <w:rFonts w:ascii="Verdana" w:eastAsia="Times New Roman" w:hAnsi="Verdana" w:cs="Arial"/>
          <w:sz w:val="23"/>
          <w:szCs w:val="22"/>
          <w:lang w:eastAsia="it-IT"/>
        </w:rPr>
        <w:t xml:space="preserve">, </w:t>
      </w:r>
      <w:r w:rsidR="009156C6" w:rsidRPr="008E76F2">
        <w:rPr>
          <w:rFonts w:ascii="Verdana" w:eastAsia="Times New Roman" w:hAnsi="Verdana" w:cs="Arial"/>
          <w:sz w:val="23"/>
          <w:szCs w:val="22"/>
          <w:lang w:eastAsia="it-IT"/>
        </w:rPr>
        <w:t>dagli</w:t>
      </w:r>
      <w:r w:rsidRPr="008E76F2">
        <w:rPr>
          <w:rFonts w:ascii="Verdana" w:eastAsia="Times New Roman" w:hAnsi="Verdana" w:cs="Arial"/>
          <w:sz w:val="23"/>
          <w:szCs w:val="22"/>
          <w:lang w:eastAsia="it-IT"/>
        </w:rPr>
        <w:t xml:space="preserve"> attori </w:t>
      </w:r>
      <w:r w:rsidR="009156C6" w:rsidRPr="008E76F2">
        <w:rPr>
          <w:rFonts w:ascii="Verdana" w:eastAsia="Times New Roman" w:hAnsi="Verdana" w:cs="Arial"/>
          <w:sz w:val="23"/>
          <w:szCs w:val="22"/>
          <w:lang w:eastAsia="it-IT"/>
        </w:rPr>
        <w:t>istituzionali</w:t>
      </w:r>
      <w:r w:rsidRPr="008E76F2">
        <w:rPr>
          <w:rFonts w:ascii="Verdana" w:eastAsia="Times New Roman" w:hAnsi="Verdana" w:cs="Arial"/>
          <w:sz w:val="23"/>
          <w:szCs w:val="22"/>
          <w:lang w:eastAsia="it-IT"/>
        </w:rPr>
        <w:t xml:space="preserve">, inclusi quelli che decidono sulla custodia dei figli, come una prosecuzione </w:t>
      </w:r>
      <w:r w:rsidR="00D933AA" w:rsidRPr="008E76F2">
        <w:rPr>
          <w:rFonts w:ascii="Verdana" w:eastAsia="Times New Roman" w:hAnsi="Verdana" w:cs="Arial"/>
          <w:sz w:val="23"/>
          <w:szCs w:val="22"/>
          <w:lang w:eastAsia="it-IT"/>
        </w:rPr>
        <w:t>dell’esercizio di</w:t>
      </w:r>
      <w:r w:rsidR="009156C6" w:rsidRPr="008E76F2">
        <w:rPr>
          <w:rFonts w:ascii="Verdana" w:eastAsia="Times New Roman" w:hAnsi="Verdana" w:cs="Arial"/>
          <w:sz w:val="23"/>
          <w:szCs w:val="22"/>
          <w:lang w:eastAsia="it-IT"/>
        </w:rPr>
        <w:t xml:space="preserve"> </w:t>
      </w:r>
      <w:r w:rsidRPr="008E76F2">
        <w:rPr>
          <w:rFonts w:ascii="Verdana" w:eastAsia="Times New Roman" w:hAnsi="Verdana" w:cs="Arial"/>
          <w:sz w:val="23"/>
          <w:szCs w:val="22"/>
          <w:lang w:eastAsia="it-IT"/>
        </w:rPr>
        <w:t>potere e controllo.</w:t>
      </w:r>
    </w:p>
    <w:p w:rsidR="005D2F58" w:rsidRPr="00AB37CB" w:rsidRDefault="005D2F5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</w:p>
    <w:p w:rsidR="005D2F58" w:rsidRPr="00AB37CB" w:rsidRDefault="005D2F5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In conclusione, la Piattaforma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reitera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l’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appello a che, nella determinazione dei diritti di custo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d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ia e 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di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visita dei figli, la violenza contro le donne sia tenuta in considerazione in tutti i casi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relativi alla custodia</w:t>
      </w:r>
      <w:r w:rsidR="008C2D8A" w:rsidRPr="00AB37CB">
        <w:rPr>
          <w:rFonts w:ascii="Verdana" w:eastAsia="Times New Roman" w:hAnsi="Verdana" w:cs="Arial"/>
          <w:sz w:val="23"/>
          <w:szCs w:val="22"/>
          <w:lang w:eastAsia="it-IT"/>
        </w:rPr>
        <w:t>,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e che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le richieste e 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i diritti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de</w:t>
      </w:r>
      <w:r w:rsidR="000149D0">
        <w:rPr>
          <w:rFonts w:ascii="Verdana" w:eastAsia="Times New Roman" w:hAnsi="Verdana" w:cs="Arial"/>
          <w:sz w:val="23"/>
          <w:szCs w:val="22"/>
          <w:lang w:eastAsia="it-IT"/>
        </w:rPr>
        <w:t>gli autori di violenza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durante e dopo i procedimenti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giudiziari,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compresi quelli riferiti a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proprietà,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riservatezza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, custodia dei figli, accesso, contatto e visita, dovrebbero essere determinati alla luce dei diritti umani d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i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donne e bambini alla vita e all’integrità fisica, sessuale e psicologica, e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ispirati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da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l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principi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o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de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l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</w:t>
      </w:r>
      <w:r w:rsidR="00736461" w:rsidRPr="00AB37CB">
        <w:rPr>
          <w:rFonts w:ascii="Verdana" w:eastAsia="Times New Roman" w:hAnsi="Verdana" w:cs="Arial"/>
          <w:sz w:val="23"/>
          <w:szCs w:val="22"/>
          <w:lang w:eastAsia="it-IT"/>
        </w:rPr>
        <w:t>superiore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interess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de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l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 xml:space="preserve"> </w:t>
      </w:r>
      <w:r w:rsidR="00D933AA" w:rsidRPr="00AB37CB">
        <w:rPr>
          <w:rFonts w:ascii="Verdana" w:eastAsia="Times New Roman" w:hAnsi="Verdana" w:cs="Arial"/>
          <w:sz w:val="23"/>
          <w:szCs w:val="22"/>
          <w:lang w:eastAsia="it-IT"/>
        </w:rPr>
        <w:t>minore</w:t>
      </w: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.</w:t>
      </w:r>
    </w:p>
    <w:p w:rsidR="005D2F58" w:rsidRPr="00AB37CB" w:rsidRDefault="005D2F5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</w:p>
    <w:p w:rsidR="005D2F58" w:rsidRPr="00AB37CB" w:rsidRDefault="005D2F5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  <w:r w:rsidRPr="00AB37CB">
        <w:rPr>
          <w:rFonts w:ascii="Verdana" w:eastAsia="Times New Roman" w:hAnsi="Verdana" w:cs="Arial"/>
          <w:sz w:val="23"/>
          <w:szCs w:val="22"/>
          <w:lang w:eastAsia="it-IT"/>
        </w:rPr>
        <w:t>FIRMATO</w:t>
      </w:r>
    </w:p>
    <w:p w:rsidR="005D2F58" w:rsidRPr="00AB37CB" w:rsidRDefault="005D2F5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</w:p>
    <w:p w:rsidR="005D2F58" w:rsidRPr="00AE339C" w:rsidRDefault="005D2F58" w:rsidP="005D2F58">
      <w:pPr>
        <w:pStyle w:val="BodyA"/>
        <w:spacing w:line="240" w:lineRule="auto"/>
        <w:jc w:val="both"/>
        <w:rPr>
          <w:rFonts w:ascii="Verdana" w:hAnsi="Verdana" w:cs="Arial"/>
          <w:b/>
          <w:iCs/>
          <w:sz w:val="23"/>
          <w:shd w:val="clear" w:color="auto" w:fill="FFFFFF"/>
          <w:lang w:val="it-IT"/>
        </w:rPr>
      </w:pPr>
      <w:proofErr w:type="spellStart"/>
      <w:r w:rsidRPr="00AE339C">
        <w:rPr>
          <w:rStyle w:val="None"/>
          <w:rFonts w:ascii="Verdana" w:hAnsi="Verdana" w:cs="Arial"/>
          <w:b/>
          <w:sz w:val="23"/>
          <w:lang w:val="it-IT"/>
        </w:rPr>
        <w:t>Dubravka</w:t>
      </w:r>
      <w:proofErr w:type="spellEnd"/>
      <w:r w:rsidRPr="00AE339C">
        <w:rPr>
          <w:rStyle w:val="None"/>
          <w:rFonts w:ascii="Verdana" w:hAnsi="Verdana" w:cs="Arial"/>
          <w:b/>
          <w:sz w:val="23"/>
          <w:lang w:val="it-IT"/>
        </w:rPr>
        <w:t xml:space="preserve"> </w:t>
      </w:r>
      <w:proofErr w:type="spellStart"/>
      <w:r w:rsidRPr="00AE339C">
        <w:rPr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Šimonovic</w:t>
      </w:r>
      <w:proofErr w:type="spellEnd"/>
      <w:r w:rsidRPr="00AE339C">
        <w:rPr>
          <w:rFonts w:ascii="Verdana" w:hAnsi="Verdana" w:cs="Arial"/>
          <w:iCs/>
          <w:sz w:val="23"/>
          <w:shd w:val="clear" w:color="auto" w:fill="FFFFFF"/>
          <w:lang w:val="it-IT"/>
        </w:rPr>
        <w:t>, Relatrice Speciale sulla Violenza contro le Donne, le sue cause e conseguenze</w:t>
      </w:r>
    </w:p>
    <w:p w:rsidR="005D2F58" w:rsidRPr="00AE339C" w:rsidRDefault="005D2F58" w:rsidP="005D2F58">
      <w:pPr>
        <w:pStyle w:val="BodyA"/>
        <w:spacing w:line="240" w:lineRule="auto"/>
        <w:jc w:val="both"/>
        <w:rPr>
          <w:rStyle w:val="None"/>
          <w:rFonts w:ascii="Verdana" w:hAnsi="Verdana" w:cs="Arial"/>
          <w:sz w:val="23"/>
          <w:shd w:val="clear" w:color="auto" w:fill="FFFFFF"/>
          <w:lang w:val="it-IT"/>
        </w:rPr>
      </w:pPr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 xml:space="preserve">Hilary </w:t>
      </w:r>
      <w:proofErr w:type="spellStart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Gbedemah</w:t>
      </w:r>
      <w:proofErr w:type="spellEnd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,</w:t>
      </w:r>
      <w:r w:rsidRPr="00AE339C">
        <w:rPr>
          <w:rStyle w:val="None"/>
          <w:rFonts w:ascii="Verdana" w:hAnsi="Verdana" w:cs="Arial"/>
          <w:bCs/>
          <w:iCs/>
          <w:sz w:val="23"/>
          <w:shd w:val="clear" w:color="auto" w:fill="FFFFFF"/>
          <w:lang w:val="it-IT"/>
        </w:rPr>
        <w:t xml:space="preserve"> </w:t>
      </w:r>
      <w:r w:rsidRPr="00AE339C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>Presidente della CEDAW</w:t>
      </w:r>
    </w:p>
    <w:p w:rsidR="005D2F58" w:rsidRPr="00AE339C" w:rsidRDefault="005D2F58" w:rsidP="005D2F58">
      <w:pPr>
        <w:pStyle w:val="BodyA"/>
        <w:spacing w:line="240" w:lineRule="auto"/>
        <w:jc w:val="both"/>
        <w:rPr>
          <w:rStyle w:val="None"/>
          <w:rFonts w:ascii="Verdana" w:hAnsi="Verdana" w:cs="Arial"/>
          <w:sz w:val="23"/>
          <w:shd w:val="clear" w:color="auto" w:fill="FFFFFF"/>
          <w:lang w:val="it-IT"/>
        </w:rPr>
      </w:pPr>
      <w:bookmarkStart w:id="0" w:name="_GoBack"/>
      <w:bookmarkEnd w:id="0"/>
      <w:r w:rsidRPr="00AE339C">
        <w:rPr>
          <w:rFonts w:ascii="Verdana" w:hAnsi="Verdana" w:cs="Arial"/>
          <w:b/>
          <w:sz w:val="23"/>
          <w:lang w:val="it-IT"/>
        </w:rPr>
        <w:t xml:space="preserve">Ivana </w:t>
      </w:r>
      <w:proofErr w:type="spellStart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Radačić</w:t>
      </w:r>
      <w:proofErr w:type="spellEnd"/>
      <w:r w:rsidRPr="00AE339C">
        <w:rPr>
          <w:rStyle w:val="None"/>
          <w:rFonts w:ascii="Verdana" w:hAnsi="Verdana" w:cs="Arial"/>
          <w:b/>
          <w:sz w:val="23"/>
          <w:shd w:val="clear" w:color="auto" w:fill="FFFFFF"/>
          <w:lang w:val="it-IT"/>
        </w:rPr>
        <w:t>,</w:t>
      </w:r>
      <w:r w:rsidRPr="00AE339C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 xml:space="preserve"> President</w:t>
      </w:r>
      <w:r w:rsidR="0034080D" w:rsidRPr="00AE339C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>e</w:t>
      </w:r>
      <w:r w:rsidRPr="00AE339C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 xml:space="preserve"> del Gruppo di Lavoro dell’ONU sulla Discriminazione contro le Donne nella Legislazione e nella Pratica</w:t>
      </w:r>
    </w:p>
    <w:p w:rsidR="005D2F58" w:rsidRPr="00AE339C" w:rsidRDefault="005D2F58" w:rsidP="005D2F58">
      <w:pPr>
        <w:pStyle w:val="BodyA"/>
        <w:spacing w:line="240" w:lineRule="auto"/>
        <w:jc w:val="both"/>
        <w:rPr>
          <w:rStyle w:val="None"/>
          <w:rFonts w:ascii="Verdana" w:hAnsi="Verdana" w:cs="Arial"/>
          <w:sz w:val="23"/>
          <w:shd w:val="clear" w:color="auto" w:fill="FFFFFF"/>
          <w:lang w:val="it-IT"/>
        </w:rPr>
      </w:pPr>
      <w:proofErr w:type="spellStart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Feride</w:t>
      </w:r>
      <w:proofErr w:type="spellEnd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 xml:space="preserve"> Acar</w:t>
      </w:r>
      <w:r w:rsidRPr="00AE339C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>, Presidente di GREVIO</w:t>
      </w:r>
    </w:p>
    <w:p w:rsidR="005D2F58" w:rsidRPr="00AE339C" w:rsidRDefault="005D2F58" w:rsidP="005D2F58">
      <w:pPr>
        <w:pStyle w:val="BodyA"/>
        <w:spacing w:line="240" w:lineRule="auto"/>
        <w:jc w:val="both"/>
        <w:rPr>
          <w:rFonts w:ascii="Verdana" w:hAnsi="Verdana" w:cs="Arial"/>
          <w:sz w:val="23"/>
          <w:lang w:val="it-IT"/>
        </w:rPr>
      </w:pPr>
      <w:proofErr w:type="spellStart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Margarette</w:t>
      </w:r>
      <w:proofErr w:type="spellEnd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 xml:space="preserve"> </w:t>
      </w:r>
      <w:proofErr w:type="spellStart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May</w:t>
      </w:r>
      <w:proofErr w:type="spellEnd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 xml:space="preserve"> </w:t>
      </w:r>
      <w:proofErr w:type="spellStart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Macaulay</w:t>
      </w:r>
      <w:proofErr w:type="spellEnd"/>
      <w:r w:rsidRPr="00AE339C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>, Relatrice sui Diritti delle Donne nella Commissione Inter-Americana sui Diritti Umani</w:t>
      </w:r>
    </w:p>
    <w:p w:rsidR="005D2F58" w:rsidRPr="00AE339C" w:rsidRDefault="005D2F58" w:rsidP="005D2F58">
      <w:pPr>
        <w:pStyle w:val="BodyA"/>
        <w:spacing w:line="240" w:lineRule="auto"/>
        <w:jc w:val="both"/>
        <w:rPr>
          <w:rStyle w:val="None"/>
          <w:rFonts w:ascii="Verdana" w:hAnsi="Verdana" w:cs="Arial"/>
          <w:sz w:val="23"/>
          <w:shd w:val="clear" w:color="auto" w:fill="FFFFFF"/>
          <w:lang w:val="it-IT"/>
        </w:rPr>
      </w:pPr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 xml:space="preserve">Lucy </w:t>
      </w:r>
      <w:proofErr w:type="spellStart"/>
      <w:r w:rsidRPr="00AE339C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Asuagbor</w:t>
      </w:r>
      <w:proofErr w:type="spellEnd"/>
      <w:r w:rsidRPr="00AE339C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 xml:space="preserve">, Relatrice Speciale sui diritti delle donne in Africa </w:t>
      </w:r>
    </w:p>
    <w:p w:rsidR="005D2F58" w:rsidRPr="00E820A8" w:rsidRDefault="005D2F58" w:rsidP="005D2F58">
      <w:pPr>
        <w:pStyle w:val="BodyA"/>
        <w:spacing w:line="240" w:lineRule="auto"/>
        <w:jc w:val="both"/>
        <w:rPr>
          <w:rStyle w:val="None"/>
          <w:rFonts w:ascii="Verdana" w:hAnsi="Verdana" w:cs="Arial"/>
          <w:sz w:val="23"/>
          <w:shd w:val="clear" w:color="auto" w:fill="FFFFFF"/>
          <w:lang w:val="it-IT"/>
        </w:rPr>
      </w:pPr>
      <w:proofErr w:type="spellStart"/>
      <w:r w:rsidRPr="00E820A8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>Sylvia</w:t>
      </w:r>
      <w:proofErr w:type="spellEnd"/>
      <w:r w:rsidRPr="00E820A8">
        <w:rPr>
          <w:rStyle w:val="None"/>
          <w:rFonts w:ascii="Verdana" w:hAnsi="Verdana" w:cs="Arial"/>
          <w:b/>
          <w:bCs/>
          <w:iCs/>
          <w:sz w:val="23"/>
          <w:shd w:val="clear" w:color="auto" w:fill="FFFFFF"/>
          <w:lang w:val="it-IT"/>
        </w:rPr>
        <w:t xml:space="preserve"> Mesa</w:t>
      </w:r>
      <w:r w:rsidRPr="00E820A8">
        <w:rPr>
          <w:rStyle w:val="None"/>
          <w:rFonts w:ascii="Verdana" w:hAnsi="Verdana" w:cs="Arial"/>
          <w:bCs/>
          <w:sz w:val="23"/>
          <w:shd w:val="clear" w:color="auto" w:fill="FFFFFF"/>
          <w:lang w:val="it-IT"/>
        </w:rPr>
        <w:t>,</w:t>
      </w:r>
      <w:r w:rsidRPr="00E820A8">
        <w:rPr>
          <w:rStyle w:val="None"/>
          <w:rFonts w:ascii="Verdana" w:hAnsi="Verdana" w:cs="Arial"/>
          <w:sz w:val="23"/>
          <w:shd w:val="clear" w:color="auto" w:fill="FFFFFF"/>
          <w:lang w:val="it-IT"/>
        </w:rPr>
        <w:t> Presidente del MESECVI</w:t>
      </w:r>
    </w:p>
    <w:p w:rsidR="005D2F58" w:rsidRPr="00E820A8" w:rsidRDefault="005D2F58" w:rsidP="005D2F58">
      <w:pPr>
        <w:pStyle w:val="BodyA"/>
        <w:spacing w:line="240" w:lineRule="auto"/>
        <w:jc w:val="both"/>
        <w:rPr>
          <w:rFonts w:ascii="Verdana" w:hAnsi="Verdana" w:cs="Arial"/>
          <w:sz w:val="23"/>
          <w:lang w:val="it-IT"/>
        </w:rPr>
      </w:pPr>
    </w:p>
    <w:p w:rsidR="005D2F58" w:rsidRPr="00AB37CB" w:rsidRDefault="005D2F58" w:rsidP="005D2F58">
      <w:pPr>
        <w:jc w:val="both"/>
        <w:rPr>
          <w:rFonts w:ascii="Verdana" w:eastAsia="Times New Roman" w:hAnsi="Verdana" w:cs="Arial"/>
          <w:sz w:val="23"/>
          <w:szCs w:val="22"/>
          <w:lang w:eastAsia="it-IT"/>
        </w:rPr>
      </w:pPr>
    </w:p>
    <w:sectPr w:rsidR="005D2F58" w:rsidRPr="00AB37CB" w:rsidSect="00E634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0CB" w:rsidRDefault="00ED60CB" w:rsidP="00257A78">
      <w:r>
        <w:separator/>
      </w:r>
    </w:p>
  </w:endnote>
  <w:endnote w:type="continuationSeparator" w:id="0">
    <w:p w:rsidR="00ED60CB" w:rsidRDefault="00ED60CB" w:rsidP="0025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0CB" w:rsidRDefault="00ED60CB" w:rsidP="00257A78">
      <w:r>
        <w:separator/>
      </w:r>
    </w:p>
  </w:footnote>
  <w:footnote w:type="continuationSeparator" w:id="0">
    <w:p w:rsidR="00ED60CB" w:rsidRDefault="00ED60CB" w:rsidP="00257A78">
      <w:r>
        <w:continuationSeparator/>
      </w:r>
    </w:p>
  </w:footnote>
  <w:footnote w:id="1">
    <w:p w:rsidR="0034080D" w:rsidRPr="00F232EE" w:rsidRDefault="0034080D">
      <w:pPr>
        <w:pStyle w:val="Testonotaapidipagina"/>
        <w:rPr>
          <w:rFonts w:asciiTheme="minorHAnsi" w:hAnsiTheme="minorHAnsi"/>
          <w:lang w:val="en-US"/>
        </w:rPr>
      </w:pPr>
      <w:r w:rsidRPr="00AB37CB">
        <w:rPr>
          <w:rStyle w:val="Rimandonotaapidipagina"/>
          <w:rFonts w:asciiTheme="minorHAnsi" w:hAnsiTheme="minorHAnsi"/>
        </w:rPr>
        <w:footnoteRef/>
      </w:r>
      <w:r w:rsidRPr="00AB37CB">
        <w:rPr>
          <w:rFonts w:asciiTheme="minorHAnsi" w:hAnsiTheme="minorHAnsi"/>
        </w:rPr>
        <w:t xml:space="preserve"> Traduzione libera e personale a cura di Avv. Elena </w:t>
      </w:r>
      <w:proofErr w:type="spellStart"/>
      <w:r w:rsidRPr="00AB37CB">
        <w:rPr>
          <w:rFonts w:asciiTheme="minorHAnsi" w:hAnsiTheme="minorHAnsi"/>
        </w:rPr>
        <w:t>Biaggioni</w:t>
      </w:r>
      <w:proofErr w:type="spellEnd"/>
      <w:r w:rsidRPr="00AB37CB">
        <w:rPr>
          <w:rFonts w:asciiTheme="minorHAnsi" w:hAnsiTheme="minorHAnsi"/>
        </w:rPr>
        <w:t xml:space="preserve"> e </w:t>
      </w:r>
      <w:r w:rsidR="001E6592">
        <w:rPr>
          <w:rFonts w:asciiTheme="minorHAnsi" w:hAnsiTheme="minorHAnsi"/>
        </w:rPr>
        <w:t xml:space="preserve">dott.ssa </w:t>
      </w:r>
      <w:r w:rsidRPr="00AB37CB">
        <w:rPr>
          <w:rFonts w:asciiTheme="minorHAnsi" w:hAnsiTheme="minorHAnsi"/>
        </w:rPr>
        <w:t xml:space="preserve">Sarah Lupi. </w:t>
      </w:r>
      <w:r w:rsidRPr="00F232EE">
        <w:rPr>
          <w:rFonts w:asciiTheme="minorHAnsi" w:hAnsiTheme="minorHAnsi"/>
          <w:lang w:val="en-US"/>
        </w:rPr>
        <w:t xml:space="preserve">Per </w:t>
      </w:r>
      <w:proofErr w:type="spellStart"/>
      <w:r w:rsidRPr="00F232EE">
        <w:rPr>
          <w:rFonts w:asciiTheme="minorHAnsi" w:hAnsiTheme="minorHAnsi"/>
          <w:lang w:val="en-US"/>
        </w:rPr>
        <w:t>qualsiasi</w:t>
      </w:r>
      <w:proofErr w:type="spellEnd"/>
      <w:r w:rsidRPr="00F232EE">
        <w:rPr>
          <w:rFonts w:asciiTheme="minorHAnsi" w:hAnsiTheme="minorHAnsi"/>
          <w:lang w:val="en-US"/>
        </w:rPr>
        <w:t xml:space="preserve"> </w:t>
      </w:r>
      <w:proofErr w:type="spellStart"/>
      <w:r w:rsidRPr="00F232EE">
        <w:rPr>
          <w:rFonts w:asciiTheme="minorHAnsi" w:hAnsiTheme="minorHAnsi"/>
          <w:lang w:val="en-US"/>
        </w:rPr>
        <w:t>osservazione</w:t>
      </w:r>
      <w:proofErr w:type="spellEnd"/>
      <w:r w:rsidRPr="00F232EE">
        <w:rPr>
          <w:rFonts w:asciiTheme="minorHAnsi" w:hAnsiTheme="minorHAnsi"/>
          <w:lang w:val="en-US"/>
        </w:rPr>
        <w:t xml:space="preserve"> o </w:t>
      </w:r>
      <w:proofErr w:type="spellStart"/>
      <w:r w:rsidRPr="00F232EE">
        <w:rPr>
          <w:rFonts w:asciiTheme="minorHAnsi" w:hAnsiTheme="minorHAnsi"/>
          <w:lang w:val="en-US"/>
        </w:rPr>
        <w:t>correzione</w:t>
      </w:r>
      <w:proofErr w:type="spellEnd"/>
      <w:r w:rsidRPr="00F232EE">
        <w:rPr>
          <w:rFonts w:asciiTheme="minorHAnsi" w:hAnsiTheme="minorHAnsi"/>
          <w:lang w:val="en-US"/>
        </w:rPr>
        <w:t xml:space="preserve">, </w:t>
      </w:r>
      <w:proofErr w:type="spellStart"/>
      <w:r w:rsidRPr="00F232EE">
        <w:rPr>
          <w:rFonts w:asciiTheme="minorHAnsi" w:hAnsiTheme="minorHAnsi"/>
          <w:lang w:val="en-US"/>
        </w:rPr>
        <w:t>contatta</w:t>
      </w:r>
      <w:r w:rsidR="001E6592" w:rsidRPr="00F232EE">
        <w:rPr>
          <w:rFonts w:asciiTheme="minorHAnsi" w:hAnsiTheme="minorHAnsi"/>
          <w:lang w:val="en-US"/>
        </w:rPr>
        <w:t>tec</w:t>
      </w:r>
      <w:r w:rsidRPr="00F232EE">
        <w:rPr>
          <w:rFonts w:asciiTheme="minorHAnsi" w:hAnsiTheme="minorHAnsi"/>
          <w:lang w:val="en-US"/>
        </w:rPr>
        <w:t>i</w:t>
      </w:r>
      <w:proofErr w:type="spellEnd"/>
      <w:r w:rsidRPr="00F232EE">
        <w:rPr>
          <w:rFonts w:asciiTheme="minorHAnsi" w:hAnsiTheme="minorHAnsi"/>
          <w:lang w:val="en-US"/>
        </w:rPr>
        <w:t xml:space="preserve"> </w:t>
      </w:r>
      <w:proofErr w:type="spellStart"/>
      <w:r w:rsidRPr="00F232EE">
        <w:rPr>
          <w:rFonts w:asciiTheme="minorHAnsi" w:hAnsiTheme="minorHAnsi"/>
          <w:lang w:val="en-US"/>
        </w:rPr>
        <w:t>all’indirizzo</w:t>
      </w:r>
      <w:proofErr w:type="spellEnd"/>
      <w:r w:rsidRPr="00F232EE">
        <w:rPr>
          <w:rFonts w:asciiTheme="minorHAnsi" w:hAnsiTheme="minorHAnsi"/>
          <w:lang w:val="en-US"/>
        </w:rPr>
        <w:t xml:space="preserve"> studio@biaggioni.it</w:t>
      </w:r>
    </w:p>
  </w:footnote>
  <w:footnote w:id="2">
    <w:p w:rsidR="0034080D" w:rsidRPr="00AE339C" w:rsidRDefault="0034080D" w:rsidP="0034080D">
      <w:pPr>
        <w:pStyle w:val="Testonotaapidipagina"/>
        <w:jc w:val="both"/>
        <w:rPr>
          <w:rFonts w:asciiTheme="minorHAnsi" w:hAnsiTheme="minorHAnsi"/>
          <w:lang w:val="en-US"/>
        </w:rPr>
      </w:pPr>
      <w:r w:rsidRPr="00AB37CB">
        <w:rPr>
          <w:rStyle w:val="Rimandonotaapidipagina"/>
          <w:rFonts w:ascii="Verdana" w:hAnsi="Verdana"/>
        </w:rPr>
        <w:footnoteRef/>
      </w:r>
      <w:r w:rsidRPr="00AE339C">
        <w:rPr>
          <w:rFonts w:ascii="Verdana" w:hAnsi="Verdana"/>
          <w:lang w:val="en-US"/>
        </w:rPr>
        <w:t xml:space="preserve"> </w:t>
      </w:r>
      <w:proofErr w:type="spellStart"/>
      <w:r w:rsidR="00AB37CB" w:rsidRPr="00AE339C">
        <w:rPr>
          <w:rFonts w:asciiTheme="minorHAnsi" w:hAnsiTheme="minorHAnsi"/>
          <w:b/>
          <w:bCs/>
          <w:i/>
          <w:iCs/>
          <w:shd w:val="clear" w:color="auto" w:fill="FFFFFF"/>
          <w:lang w:val="en-US"/>
        </w:rPr>
        <w:t>Dubravka</w:t>
      </w:r>
      <w:proofErr w:type="spellEnd"/>
      <w:r w:rsidR="00AB37CB" w:rsidRPr="00AE339C">
        <w:rPr>
          <w:rFonts w:asciiTheme="minorHAnsi" w:hAnsiTheme="minorHAnsi"/>
          <w:b/>
          <w:bCs/>
          <w:i/>
          <w:iCs/>
          <w:shd w:val="clear" w:color="auto" w:fill="FFFFFF"/>
          <w:lang w:val="en-US"/>
        </w:rPr>
        <w:t xml:space="preserve"> </w:t>
      </w:r>
      <w:proofErr w:type="spellStart"/>
      <w:r w:rsidR="00AB37CB" w:rsidRPr="00AE339C">
        <w:rPr>
          <w:rFonts w:asciiTheme="minorHAnsi" w:hAnsiTheme="minorHAnsi"/>
          <w:b/>
          <w:bCs/>
          <w:i/>
          <w:iCs/>
          <w:shd w:val="clear" w:color="auto" w:fill="FFFFFF"/>
          <w:lang w:val="en-US"/>
        </w:rPr>
        <w:t>Šimonovic</w:t>
      </w:r>
      <w:proofErr w:type="spellEnd"/>
      <w:r w:rsidR="00AB37CB" w:rsidRPr="00AE339C">
        <w:rPr>
          <w:rFonts w:asciiTheme="minorHAnsi" w:hAnsiTheme="minorHAnsi"/>
          <w:i/>
          <w:iCs/>
          <w:shd w:val="clear" w:color="auto" w:fill="FFFFFF"/>
          <w:lang w:val="en-US"/>
        </w:rPr>
        <w:t>, </w:t>
      </w:r>
      <w:hyperlink r:id="rId1" w:history="1"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>Special Rapporteur on violence against women, its causes and consequences</w:t>
        </w:r>
      </w:hyperlink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; </w:t>
      </w:r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 xml:space="preserve">Hilary </w:t>
      </w:r>
      <w:proofErr w:type="spellStart"/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>Gbedemah</w:t>
      </w:r>
      <w:proofErr w:type="spellEnd"/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 xml:space="preserve"> </w:t>
      </w:r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Chairperson of the</w:t>
      </w:r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 xml:space="preserve"> </w:t>
      </w:r>
      <w:hyperlink r:id="rId2" w:history="1"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>UN Committee on the Elimination of Discrimination against Women</w:t>
        </w:r>
      </w:hyperlink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; </w:t>
      </w:r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 xml:space="preserve">Ivana </w:t>
      </w:r>
      <w:proofErr w:type="spellStart"/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>Radačić</w:t>
      </w:r>
      <w:proofErr w:type="spellEnd"/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, Chair of the </w:t>
      </w:r>
      <w:hyperlink r:id="rId3" w:history="1"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>UN Working Group on the issue of discrimination against women in law and in practice</w:t>
        </w:r>
      </w:hyperlink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; </w:t>
      </w:r>
      <w:proofErr w:type="spellStart"/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>Feride</w:t>
      </w:r>
      <w:proofErr w:type="spellEnd"/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 xml:space="preserve"> </w:t>
      </w:r>
      <w:proofErr w:type="spellStart"/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>Acar</w:t>
      </w:r>
      <w:proofErr w:type="spellEnd"/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, President of the </w:t>
      </w:r>
      <w:hyperlink r:id="rId4" w:history="1"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>Group of Experts on Action against Violence against Women and Domestic Violence of the Council of Europe</w:t>
        </w:r>
      </w:hyperlink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; </w:t>
      </w:r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>Margarette May Macaulay</w:t>
      </w:r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, </w:t>
      </w:r>
      <w:hyperlink r:id="rId5" w:history="1"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>Rapporteur on the Rights of Women of the IACHR</w:t>
        </w:r>
      </w:hyperlink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, </w:t>
      </w:r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 xml:space="preserve">Lucy </w:t>
      </w:r>
      <w:proofErr w:type="spellStart"/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>Asuagbor</w:t>
      </w:r>
      <w:proofErr w:type="spellEnd"/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, </w:t>
      </w:r>
      <w:hyperlink r:id="rId6" w:history="1"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>Special Rapporteur on Rights of Women in Africa</w:t>
        </w:r>
      </w:hyperlink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 and </w:t>
      </w:r>
      <w:r w:rsidR="00AB37CB" w:rsidRPr="00AE339C">
        <w:rPr>
          <w:rStyle w:val="None"/>
          <w:rFonts w:asciiTheme="minorHAnsi" w:hAnsiTheme="minorHAnsi"/>
          <w:b/>
          <w:bCs/>
          <w:i/>
          <w:iCs/>
          <w:shd w:val="clear" w:color="auto" w:fill="FFFFFF"/>
          <w:lang w:val="en-US"/>
        </w:rPr>
        <w:t>Sylvia Mesa</w:t>
      </w:r>
      <w:r w:rsidR="00AB37CB" w:rsidRPr="00AE339C">
        <w:rPr>
          <w:rStyle w:val="None"/>
          <w:rFonts w:asciiTheme="minorHAnsi" w:hAnsiTheme="minorHAnsi"/>
          <w:b/>
          <w:bCs/>
          <w:shd w:val="clear" w:color="auto" w:fill="FFFFFF"/>
          <w:lang w:val="en-US"/>
        </w:rPr>
        <w:t>,</w:t>
      </w:r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 President of the </w:t>
      </w:r>
      <w:hyperlink r:id="rId7" w:history="1"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 xml:space="preserve">Committee of Experts of the Follow-up Mechanism to the </w:t>
        </w:r>
        <w:proofErr w:type="spellStart"/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>Belém</w:t>
        </w:r>
        <w:proofErr w:type="spellEnd"/>
        <w:r w:rsidR="00AB37CB" w:rsidRPr="00AE339C">
          <w:rPr>
            <w:rStyle w:val="Hyperlink0"/>
            <w:rFonts w:asciiTheme="minorHAnsi" w:hAnsiTheme="minorHAnsi"/>
            <w:sz w:val="20"/>
            <w:szCs w:val="20"/>
            <w:lang w:val="en-US"/>
          </w:rPr>
          <w:t xml:space="preserve"> do Pará Convention</w:t>
        </w:r>
      </w:hyperlink>
      <w:r w:rsidR="00AB37CB" w:rsidRPr="00AE339C">
        <w:rPr>
          <w:rStyle w:val="None"/>
          <w:rFonts w:asciiTheme="minorHAnsi" w:hAnsiTheme="minorHAnsi"/>
          <w:shd w:val="clear" w:color="auto" w:fill="FFFFFF"/>
          <w:lang w:val="en-US"/>
        </w:rPr>
        <w:t>.</w:t>
      </w:r>
    </w:p>
  </w:footnote>
  <w:footnote w:id="3">
    <w:p w:rsidR="00257A78" w:rsidRPr="00AB37CB" w:rsidRDefault="00257A78">
      <w:pPr>
        <w:pStyle w:val="Testonotaapidipagina"/>
        <w:rPr>
          <w:rFonts w:asciiTheme="minorHAnsi" w:hAnsiTheme="minorHAnsi"/>
        </w:rPr>
      </w:pPr>
      <w:r w:rsidRPr="00AB37CB">
        <w:rPr>
          <w:rStyle w:val="Rimandonotaapidipagina"/>
          <w:rFonts w:asciiTheme="minorHAnsi" w:hAnsiTheme="minorHAnsi"/>
        </w:rPr>
        <w:footnoteRef/>
      </w:r>
      <w:r w:rsidRPr="00AB37CB">
        <w:rPr>
          <w:rFonts w:asciiTheme="minorHAnsi" w:hAnsiTheme="minorHAnsi"/>
        </w:rPr>
        <w:t xml:space="preserve"> </w:t>
      </w:r>
      <w:r w:rsidR="0034080D" w:rsidRPr="00AB37CB">
        <w:rPr>
          <w:rFonts w:asciiTheme="minorHAnsi" w:hAnsiTheme="minorHAnsi"/>
        </w:rPr>
        <w:t xml:space="preserve">Si è deciso di rendere con il termine “violenza domestica” l’espressione inglese “intimate partner </w:t>
      </w:r>
      <w:proofErr w:type="spellStart"/>
      <w:r w:rsidR="0034080D" w:rsidRPr="00AB37CB">
        <w:rPr>
          <w:rFonts w:asciiTheme="minorHAnsi" w:hAnsiTheme="minorHAnsi"/>
        </w:rPr>
        <w:t>violence</w:t>
      </w:r>
      <w:proofErr w:type="spellEnd"/>
      <w:r w:rsidR="0034080D" w:rsidRPr="00AB37CB">
        <w:rPr>
          <w:rFonts w:asciiTheme="minorHAnsi" w:hAnsiTheme="minorHAnsi"/>
        </w:rPr>
        <w:t>”</w:t>
      </w:r>
    </w:p>
  </w:footnote>
  <w:footnote w:id="4">
    <w:p w:rsidR="00AB37CB" w:rsidRPr="00AB37CB" w:rsidRDefault="00AB37CB">
      <w:pPr>
        <w:pStyle w:val="Testonotaapidipagina"/>
        <w:rPr>
          <w:rFonts w:asciiTheme="minorHAnsi" w:hAnsiTheme="minorHAnsi"/>
        </w:rPr>
      </w:pPr>
      <w:r w:rsidRPr="00AB37CB">
        <w:rPr>
          <w:rStyle w:val="Rimandonotaapidipagina"/>
          <w:rFonts w:asciiTheme="minorHAnsi" w:hAnsiTheme="minorHAnsi"/>
        </w:rPr>
        <w:footnoteRef/>
      </w:r>
      <w:r w:rsidRPr="00AB37CB">
        <w:rPr>
          <w:rFonts w:asciiTheme="minorHAnsi" w:hAnsiTheme="minorHAnsi"/>
        </w:rPr>
        <w:t xml:space="preserve"> Commissione Inter-Americana sui Diritti Umani (IACHR) </w:t>
      </w:r>
      <w:r w:rsidRPr="00AE339C">
        <w:rPr>
          <w:rStyle w:val="None"/>
          <w:rFonts w:asciiTheme="minorHAnsi" w:hAnsiTheme="minorHAnsi"/>
          <w:shd w:val="clear" w:color="auto" w:fill="FFFFFF"/>
        </w:rPr>
        <w:t xml:space="preserve">Case No. 12.626 </w:t>
      </w:r>
      <w:proofErr w:type="spellStart"/>
      <w:r w:rsidRPr="00AE339C">
        <w:rPr>
          <w:rStyle w:val="None"/>
          <w:rFonts w:asciiTheme="minorHAnsi" w:hAnsiTheme="minorHAnsi"/>
          <w:shd w:val="clear" w:color="auto" w:fill="FFFFFF"/>
        </w:rPr>
        <w:t>Lenahan</w:t>
      </w:r>
      <w:proofErr w:type="spellEnd"/>
      <w:r w:rsidRPr="00AE339C">
        <w:rPr>
          <w:rStyle w:val="None"/>
          <w:rFonts w:asciiTheme="minorHAnsi" w:hAnsiTheme="minorHAnsi"/>
          <w:shd w:val="clear" w:color="auto" w:fill="FFFFFF"/>
        </w:rPr>
        <w:t xml:space="preserve"> et Al. v. the </w:t>
      </w:r>
      <w:proofErr w:type="spellStart"/>
      <w:r w:rsidRPr="00AE339C">
        <w:rPr>
          <w:rStyle w:val="None"/>
          <w:rFonts w:asciiTheme="minorHAnsi" w:hAnsiTheme="minorHAnsi"/>
          <w:shd w:val="clear" w:color="auto" w:fill="FFFFFF"/>
        </w:rPr>
        <w:t>United</w:t>
      </w:r>
      <w:proofErr w:type="spellEnd"/>
      <w:r w:rsidRPr="00AE339C">
        <w:rPr>
          <w:rStyle w:val="None"/>
          <w:rFonts w:asciiTheme="minorHAnsi" w:hAnsiTheme="minorHAnsi"/>
          <w:shd w:val="clear" w:color="auto" w:fill="FFFFFF"/>
        </w:rPr>
        <w:t xml:space="preserve"> </w:t>
      </w:r>
      <w:proofErr w:type="spellStart"/>
      <w:r w:rsidRPr="00AE339C">
        <w:rPr>
          <w:rStyle w:val="None"/>
          <w:rFonts w:asciiTheme="minorHAnsi" w:hAnsiTheme="minorHAnsi"/>
          <w:shd w:val="clear" w:color="auto" w:fill="FFFFFF"/>
        </w:rPr>
        <w:t>States</w:t>
      </w:r>
      <w:proofErr w:type="spellEnd"/>
      <w:r w:rsidRPr="00AE339C">
        <w:rPr>
          <w:rStyle w:val="None"/>
          <w:rFonts w:asciiTheme="minorHAnsi" w:hAnsiTheme="minorHAnsi"/>
          <w:shd w:val="clear" w:color="auto" w:fill="FFFFFF"/>
        </w:rPr>
        <w:t xml:space="preserve">: </w:t>
      </w:r>
      <w:hyperlink r:id="rId8" w:history="1">
        <w:r w:rsidRPr="00AB37CB">
          <w:rPr>
            <w:rStyle w:val="Hyperlink1"/>
            <w:rFonts w:asciiTheme="minorHAnsi" w:eastAsia="Arial Unicode MS" w:hAnsiTheme="minorHAnsi" w:cs="Arial Unicode MS"/>
            <w:sz w:val="20"/>
            <w:szCs w:val="20"/>
          </w:rPr>
          <w:t>www.oas.org/en/iachr/decisions/2011/USPU12626EN.doc</w:t>
        </w:r>
      </w:hyperlink>
    </w:p>
    <w:p w:rsidR="00AB37CB" w:rsidRPr="00AB37CB" w:rsidRDefault="00AB37CB">
      <w:pPr>
        <w:pStyle w:val="Testonotaapidipagina"/>
        <w:rPr>
          <w:rFonts w:asciiTheme="minorHAnsi" w:hAnsiTheme="minorHAnsi"/>
        </w:rPr>
      </w:pPr>
      <w:r w:rsidRPr="00AB37CB">
        <w:rPr>
          <w:rFonts w:asciiTheme="minorHAnsi" w:hAnsiTheme="minorHAnsi"/>
        </w:rPr>
        <w:t xml:space="preserve">Jessica </w:t>
      </w:r>
      <w:proofErr w:type="spellStart"/>
      <w:r w:rsidRPr="00AB37CB">
        <w:rPr>
          <w:rFonts w:asciiTheme="minorHAnsi" w:hAnsiTheme="minorHAnsi"/>
        </w:rPr>
        <w:t>Lenahan</w:t>
      </w:r>
      <w:proofErr w:type="spellEnd"/>
      <w:r w:rsidRPr="00AB37CB">
        <w:rPr>
          <w:rFonts w:asciiTheme="minorHAnsi" w:hAnsiTheme="minorHAnsi"/>
        </w:rPr>
        <w:t xml:space="preserve">, vittima di violenza domestica unitamente alle sue figlie Leslie, </w:t>
      </w:r>
      <w:proofErr w:type="spellStart"/>
      <w:r w:rsidRPr="00AB37CB">
        <w:rPr>
          <w:rFonts w:asciiTheme="minorHAnsi" w:hAnsiTheme="minorHAnsi"/>
        </w:rPr>
        <w:t>Katheryn</w:t>
      </w:r>
      <w:proofErr w:type="spellEnd"/>
      <w:r w:rsidRPr="00AB37CB">
        <w:rPr>
          <w:rFonts w:asciiTheme="minorHAnsi" w:hAnsiTheme="minorHAnsi"/>
        </w:rPr>
        <w:t xml:space="preserve"> e Rebecca Gonzales aveva ottenuto un ordine restrittivo nei confronti del precedente marito di Ms. </w:t>
      </w:r>
      <w:proofErr w:type="spellStart"/>
      <w:r w:rsidRPr="00AB37CB">
        <w:rPr>
          <w:rFonts w:asciiTheme="minorHAnsi" w:hAnsiTheme="minorHAnsi"/>
        </w:rPr>
        <w:t>Lenahan</w:t>
      </w:r>
      <w:proofErr w:type="spellEnd"/>
      <w:r w:rsidRPr="00AB37CB">
        <w:rPr>
          <w:rFonts w:asciiTheme="minorHAnsi" w:hAnsiTheme="minorHAnsi"/>
        </w:rPr>
        <w:t xml:space="preserve"> e padre delle bambine. Nel 1999, le figlie di Ms. </w:t>
      </w:r>
      <w:proofErr w:type="spellStart"/>
      <w:r w:rsidRPr="00AB37CB">
        <w:rPr>
          <w:rFonts w:asciiTheme="minorHAnsi" w:hAnsiTheme="minorHAnsi"/>
        </w:rPr>
        <w:t>Lenahan</w:t>
      </w:r>
      <w:proofErr w:type="spellEnd"/>
      <w:r w:rsidRPr="00AB37CB">
        <w:rPr>
          <w:rFonts w:asciiTheme="minorHAnsi" w:hAnsiTheme="minorHAnsi"/>
        </w:rPr>
        <w:t xml:space="preserve"> furono rapite dal marito separato e uccise di fronte alla stazione di polizia di </w:t>
      </w:r>
      <w:proofErr w:type="spellStart"/>
      <w:r w:rsidRPr="00AB37CB">
        <w:rPr>
          <w:rFonts w:asciiTheme="minorHAnsi" w:hAnsiTheme="minorHAnsi"/>
        </w:rPr>
        <w:t>Castle</w:t>
      </w:r>
      <w:proofErr w:type="spellEnd"/>
      <w:r w:rsidRPr="00AB37CB">
        <w:rPr>
          <w:rFonts w:asciiTheme="minorHAnsi" w:hAnsiTheme="minorHAnsi"/>
        </w:rPr>
        <w:t xml:space="preserve"> Rock (Colorado</w:t>
      </w:r>
      <w:r w:rsidRPr="000149D0">
        <w:rPr>
          <w:rFonts w:asciiTheme="minorHAnsi" w:hAnsiTheme="minorHAnsi"/>
        </w:rPr>
        <w:t xml:space="preserve">), dopo che le forze dell’ordine si erano rifiutate </w:t>
      </w:r>
      <w:r w:rsidR="000149D0" w:rsidRPr="000149D0">
        <w:rPr>
          <w:rFonts w:asciiTheme="minorHAnsi" w:hAnsiTheme="minorHAnsi"/>
        </w:rPr>
        <w:t xml:space="preserve">ripetutamente </w:t>
      </w:r>
      <w:r w:rsidRPr="000149D0">
        <w:rPr>
          <w:rFonts w:asciiTheme="minorHAnsi" w:hAnsiTheme="minorHAnsi"/>
        </w:rPr>
        <w:t>di far rispettare l’ordine restrittivo di violenza domestica nei</w:t>
      </w:r>
      <w:r w:rsidRPr="00AB37CB">
        <w:rPr>
          <w:rFonts w:asciiTheme="minorHAnsi" w:hAnsiTheme="minorHAnsi"/>
        </w:rPr>
        <w:t xml:space="preserve"> suoi confronti.</w:t>
      </w:r>
    </w:p>
  </w:footnote>
  <w:footnote w:id="5">
    <w:p w:rsidR="0034080D" w:rsidRPr="00AB37CB" w:rsidRDefault="0034080D">
      <w:pPr>
        <w:pStyle w:val="Testonotaapidipagina"/>
        <w:rPr>
          <w:rFonts w:asciiTheme="minorHAnsi" w:hAnsiTheme="minorHAnsi"/>
        </w:rPr>
      </w:pPr>
      <w:r w:rsidRPr="00AB37CB">
        <w:rPr>
          <w:rStyle w:val="Rimandonotaapidipagina"/>
          <w:rFonts w:asciiTheme="minorHAnsi" w:hAnsiTheme="minorHAnsi"/>
        </w:rPr>
        <w:footnoteRef/>
      </w:r>
      <w:r w:rsidRPr="00AB37CB">
        <w:rPr>
          <w:rFonts w:asciiTheme="minorHAnsi" w:hAnsiTheme="minorHAnsi"/>
        </w:rPr>
        <w:t xml:space="preserve"> </w:t>
      </w:r>
      <w:r w:rsidR="00AB37CB" w:rsidRPr="00AB37CB">
        <w:rPr>
          <w:rFonts w:asciiTheme="minorHAnsi" w:hAnsiTheme="minorHAnsi"/>
        </w:rPr>
        <w:t xml:space="preserve">Comunicazione CEDAW n. 47/2012, disponibile qui: </w:t>
      </w:r>
      <w:hyperlink r:id="rId9" w:history="1">
        <w:r w:rsidR="00AB37CB" w:rsidRPr="00AB37CB">
          <w:rPr>
            <w:rStyle w:val="Hyperlink2"/>
            <w:rFonts w:asciiTheme="minorHAnsi" w:hAnsiTheme="minorHAnsi"/>
            <w:sz w:val="20"/>
            <w:szCs w:val="20"/>
          </w:rPr>
          <w:t>https://www.ohchr.org/EN/HRBodies/CEDAW/Pages/JurisprudenceSession58.aspx</w:t>
        </w:r>
      </w:hyperlink>
    </w:p>
  </w:footnote>
  <w:footnote w:id="6">
    <w:p w:rsidR="0034080D" w:rsidRPr="00AB37CB" w:rsidRDefault="0034080D">
      <w:pPr>
        <w:pStyle w:val="Testonotaapidipagina"/>
        <w:rPr>
          <w:rFonts w:asciiTheme="minorHAnsi" w:hAnsiTheme="minorHAnsi"/>
        </w:rPr>
      </w:pPr>
      <w:r w:rsidRPr="00AB37CB">
        <w:rPr>
          <w:rStyle w:val="Rimandonotaapidipagina"/>
          <w:rFonts w:asciiTheme="minorHAnsi" w:hAnsiTheme="minorHAnsi"/>
        </w:rPr>
        <w:footnoteRef/>
      </w:r>
      <w:r w:rsidRPr="00AB37CB">
        <w:rPr>
          <w:rFonts w:asciiTheme="minorHAnsi" w:hAnsiTheme="minorHAnsi"/>
        </w:rPr>
        <w:t xml:space="preserve"> Il termine “alienazione parentale”, a fronte dell’assenza di una definizione universale clinica o scientifica, si riferisce generalmente al presupposto in base a cui la paura o il rifiuto da parte di un bambino nei confronti di un genitore (tipicamente il genitore non affidatario) deriva dalla influenza negativa del genitore preferito (tipicamente affidatario).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38"/>
    <w:rsid w:val="000149D0"/>
    <w:rsid w:val="000404E6"/>
    <w:rsid w:val="00061003"/>
    <w:rsid w:val="000A3C6C"/>
    <w:rsid w:val="001E5723"/>
    <w:rsid w:val="001E6592"/>
    <w:rsid w:val="0020719B"/>
    <w:rsid w:val="00257A78"/>
    <w:rsid w:val="0034080D"/>
    <w:rsid w:val="003A4838"/>
    <w:rsid w:val="00502A05"/>
    <w:rsid w:val="00553C19"/>
    <w:rsid w:val="00571D30"/>
    <w:rsid w:val="00575D58"/>
    <w:rsid w:val="005B2DE9"/>
    <w:rsid w:val="005D2F58"/>
    <w:rsid w:val="006D09F7"/>
    <w:rsid w:val="006F4033"/>
    <w:rsid w:val="006F6388"/>
    <w:rsid w:val="00736461"/>
    <w:rsid w:val="007654B6"/>
    <w:rsid w:val="008211CD"/>
    <w:rsid w:val="008C2D8A"/>
    <w:rsid w:val="008E76F2"/>
    <w:rsid w:val="009156C6"/>
    <w:rsid w:val="00A24C46"/>
    <w:rsid w:val="00A2693E"/>
    <w:rsid w:val="00AB37CB"/>
    <w:rsid w:val="00AE339C"/>
    <w:rsid w:val="00C81DAD"/>
    <w:rsid w:val="00C954B1"/>
    <w:rsid w:val="00D86EEC"/>
    <w:rsid w:val="00D933AA"/>
    <w:rsid w:val="00E14F22"/>
    <w:rsid w:val="00E423A8"/>
    <w:rsid w:val="00E531E0"/>
    <w:rsid w:val="00E63437"/>
    <w:rsid w:val="00E820A8"/>
    <w:rsid w:val="00EB0CC2"/>
    <w:rsid w:val="00EB6D60"/>
    <w:rsid w:val="00ED0374"/>
    <w:rsid w:val="00ED60CB"/>
    <w:rsid w:val="00F232EE"/>
    <w:rsid w:val="00F25E57"/>
    <w:rsid w:val="00F73DA6"/>
    <w:rsid w:val="00F8217D"/>
    <w:rsid w:val="00F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EA5C8B"/>
  <w15:chartTrackingRefBased/>
  <w15:docId w15:val="{15FBBAB1-2FDE-AA44-9BF9-D17010C3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A4838"/>
  </w:style>
  <w:style w:type="paragraph" w:customStyle="1" w:styleId="BodyA">
    <w:name w:val="Body A"/>
    <w:rsid w:val="005D2F5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character" w:customStyle="1" w:styleId="None">
    <w:name w:val="None"/>
    <w:rsid w:val="005D2F58"/>
  </w:style>
  <w:style w:type="paragraph" w:styleId="Testonotaapidipagina">
    <w:name w:val="footnote text"/>
    <w:basedOn w:val="Normale"/>
    <w:link w:val="TestonotaapidipaginaCarattere"/>
    <w:unhideWhenUsed/>
    <w:rsid w:val="00257A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A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A78"/>
    <w:rPr>
      <w:vertAlign w:val="superscript"/>
    </w:rPr>
  </w:style>
  <w:style w:type="character" w:customStyle="1" w:styleId="Hyperlink0">
    <w:name w:val="Hyperlink.0"/>
    <w:basedOn w:val="None"/>
    <w:rsid w:val="0034080D"/>
    <w:rPr>
      <w:color w:val="663399"/>
      <w:sz w:val="22"/>
      <w:szCs w:val="22"/>
      <w:u w:val="single" w:color="663399"/>
      <w:shd w:val="clear" w:color="auto" w:fill="FFFFFF"/>
    </w:rPr>
  </w:style>
  <w:style w:type="character" w:customStyle="1" w:styleId="Hyperlink1">
    <w:name w:val="Hyperlink.1"/>
    <w:basedOn w:val="Carpredefinitoparagrafo"/>
    <w:rsid w:val="00AB37CB"/>
    <w:rPr>
      <w:rFonts w:ascii="Verdana" w:eastAsia="Verdana" w:hAnsi="Verdana" w:cs="Verdana"/>
      <w:color w:val="000000"/>
      <w:sz w:val="16"/>
      <w:szCs w:val="16"/>
      <w:u w:val="single" w:color="000000"/>
      <w:shd w:val="clear" w:color="auto" w:fill="FFFFFF"/>
    </w:rPr>
  </w:style>
  <w:style w:type="character" w:customStyle="1" w:styleId="Hyperlink2">
    <w:name w:val="Hyperlink.2"/>
    <w:basedOn w:val="Carpredefinitoparagrafo"/>
    <w:rsid w:val="00AB37CB"/>
    <w:rPr>
      <w:rFonts w:ascii="Verdana" w:eastAsia="Verdana" w:hAnsi="Verdana" w:cs="Verdana"/>
      <w:color w:val="0000FF"/>
      <w:sz w:val="16"/>
      <w:szCs w:val="16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014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9D0"/>
  </w:style>
  <w:style w:type="paragraph" w:styleId="Pidipagina">
    <w:name w:val="footer"/>
    <w:basedOn w:val="Normale"/>
    <w:link w:val="PidipaginaCarattere"/>
    <w:uiPriority w:val="99"/>
    <w:unhideWhenUsed/>
    <w:rsid w:val="00014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en/iachr/decisions/2011/USPU12626EN.doc" TargetMode="External"/><Relationship Id="rId3" Type="http://schemas.openxmlformats.org/officeDocument/2006/relationships/hyperlink" Target="https://www.ohchr.org/en/issues/women/wgwomen/pages/wgwomenindex.aspx" TargetMode="External"/><Relationship Id="rId7" Type="http://schemas.openxmlformats.org/officeDocument/2006/relationships/hyperlink" Target="http://www.oas.org/en/mesecvi/about.asp" TargetMode="External"/><Relationship Id="rId2" Type="http://schemas.openxmlformats.org/officeDocument/2006/relationships/hyperlink" Target="https://www.ohchr.org/en/hrbodies/cedaw/pages/cedawindex.aspx" TargetMode="External"/><Relationship Id="rId1" Type="http://schemas.openxmlformats.org/officeDocument/2006/relationships/hyperlink" Target="https://www.ohchr.org/EN/Issues/Women/SRWomen/Pages/SRWomenIndex.aspx" TargetMode="External"/><Relationship Id="rId6" Type="http://schemas.openxmlformats.org/officeDocument/2006/relationships/hyperlink" Target="http://www.achpr.org/mechanisms/rights-of-women/" TargetMode="External"/><Relationship Id="rId5" Type="http://schemas.openxmlformats.org/officeDocument/2006/relationships/hyperlink" Target="http://www.oas.org/en/iachr/women/mandate/composition.asp" TargetMode="External"/><Relationship Id="rId4" Type="http://schemas.openxmlformats.org/officeDocument/2006/relationships/hyperlink" Target="https://www.coe.int/en/web/istanbul-convention/grevio" TargetMode="External"/><Relationship Id="rId9" Type="http://schemas.openxmlformats.org/officeDocument/2006/relationships/hyperlink" Target="https://www.ohchr.org/EN/HRBodies/CEDAW/Pages/JurisprudenceSession58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6A28F-5C31-F846-AC24-ECCDCCDE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Lupi</dc:creator>
  <cp:keywords/>
  <dc:description/>
  <cp:lastModifiedBy>scoppa.cristiana@gmail.com</cp:lastModifiedBy>
  <cp:revision>6</cp:revision>
  <dcterms:created xsi:type="dcterms:W3CDTF">2019-06-19T08:56:00Z</dcterms:created>
  <dcterms:modified xsi:type="dcterms:W3CDTF">2019-06-21T18:07:00Z</dcterms:modified>
</cp:coreProperties>
</file>